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DE09B4" w14:textId="77777777" w:rsidR="00C81213" w:rsidRPr="00111F16" w:rsidRDefault="00C81213" w:rsidP="00C81213">
      <w:pPr>
        <w:keepNext/>
        <w:keepLines/>
        <w:spacing w:after="0" w:line="360" w:lineRule="auto"/>
        <w:ind w:right="11" w:firstLine="709"/>
        <w:jc w:val="center"/>
        <w:outlineLvl w:val="0"/>
        <w:rPr>
          <w:rFonts w:ascii="Times New Roman" w:eastAsia="Times New Roman" w:hAnsi="Times New Roman" w:cs="Times New Roman"/>
          <w:b/>
          <w:kern w:val="0"/>
          <w:sz w:val="32"/>
          <w:szCs w:val="32"/>
          <w:lang w:eastAsia="ru-RU"/>
          <w14:ligatures w14:val="none"/>
        </w:rPr>
      </w:pPr>
      <w:r w:rsidRPr="00111F16">
        <w:rPr>
          <w:rFonts w:ascii="Times New Roman" w:eastAsia="Times New Roman" w:hAnsi="Times New Roman" w:cs="Times New Roman"/>
          <w:b/>
          <w:noProof/>
          <w:kern w:val="0"/>
          <w:sz w:val="32"/>
          <w:szCs w:val="32"/>
          <w:lang w:val="ru-RU" w:eastAsia="ru-RU"/>
          <w14:ligatures w14:val="none"/>
        </w:rPr>
        <mc:AlternateContent>
          <mc:Choice Requires="wps">
            <w:drawing>
              <wp:anchor distT="0" distB="0" distL="114300" distR="114300" simplePos="0" relativeHeight="251660288" behindDoc="0" locked="0" layoutInCell="1" allowOverlap="1" wp14:anchorId="16FC4388" wp14:editId="66B76FA0">
                <wp:simplePos x="0" y="0"/>
                <wp:positionH relativeFrom="column">
                  <wp:posOffset>5650865</wp:posOffset>
                </wp:positionH>
                <wp:positionV relativeFrom="paragraph">
                  <wp:posOffset>-287867</wp:posOffset>
                </wp:positionV>
                <wp:extent cx="423333" cy="254000"/>
                <wp:effectExtent l="0" t="0" r="15240" b="12700"/>
                <wp:wrapNone/>
                <wp:docPr id="132" name="Прямоугольник 132"/>
                <wp:cNvGraphicFramePr/>
                <a:graphic xmlns:a="http://schemas.openxmlformats.org/drawingml/2006/main">
                  <a:graphicData uri="http://schemas.microsoft.com/office/word/2010/wordprocessingShape">
                    <wps:wsp>
                      <wps:cNvSpPr/>
                      <wps:spPr>
                        <a:xfrm>
                          <a:off x="0" y="0"/>
                          <a:ext cx="423333" cy="25400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4F48914" id="Прямоугольник 132" o:spid="_x0000_s1026" style="position:absolute;margin-left:444.95pt;margin-top:-22.65pt;width:33.35pt;height:20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" fillcolor="window" strokecolor="window" strokeweight="1pt"/>
            </w:pict>
          </mc:Fallback>
        </mc:AlternateContent>
      </w:r>
      <w:r w:rsidRPr="00111F16">
        <w:rPr>
          <w:rFonts w:ascii="Times New Roman" w:eastAsia="Times New Roman" w:hAnsi="Times New Roman" w:cs="Times New Roman"/>
          <w:b/>
          <w:noProof/>
          <w:kern w:val="0"/>
          <w:sz w:val="32"/>
          <w:szCs w:val="32"/>
          <w:lang w:val="ru-RU" w:eastAsia="ru-RU"/>
          <w14:ligatures w14:val="none"/>
        </w:rPr>
        <mc:AlternateContent>
          <mc:Choice Requires="wps">
            <w:drawing>
              <wp:anchor distT="0" distB="0" distL="114300" distR="114300" simplePos="0" relativeHeight="251659264" behindDoc="0" locked="0" layoutInCell="1" allowOverlap="1" wp14:anchorId="2642484F" wp14:editId="57DCC9DA">
                <wp:simplePos x="0" y="0"/>
                <wp:positionH relativeFrom="column">
                  <wp:posOffset>5701665</wp:posOffset>
                </wp:positionH>
                <wp:positionV relativeFrom="paragraph">
                  <wp:posOffset>-305223</wp:posOffset>
                </wp:positionV>
                <wp:extent cx="423333" cy="254000"/>
                <wp:effectExtent l="0" t="0" r="15240" b="12700"/>
                <wp:wrapNone/>
                <wp:docPr id="133" name="Прямоугольник 133"/>
                <wp:cNvGraphicFramePr/>
                <a:graphic xmlns:a="http://schemas.openxmlformats.org/drawingml/2006/main">
                  <a:graphicData uri="http://schemas.microsoft.com/office/word/2010/wordprocessingShape">
                    <wps:wsp>
                      <wps:cNvSpPr/>
                      <wps:spPr>
                        <a:xfrm>
                          <a:off x="0" y="0"/>
                          <a:ext cx="423333" cy="25400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A6DE626" id="Прямоугольник 133" o:spid="_x0000_s1026" style="position:absolute;margin-left:448.95pt;margin-top:-24.05pt;width:33.35pt;height:2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" fillcolor="window" strokecolor="window" strokeweight="1pt"/>
            </w:pict>
          </mc:Fallback>
        </mc:AlternateContent>
      </w:r>
      <w:r w:rsidRPr="00111F16">
        <w:rPr>
          <w:rFonts w:ascii="Times New Roman" w:eastAsia="Times New Roman" w:hAnsi="Times New Roman" w:cs="Times New Roman"/>
          <w:b/>
          <w:kern w:val="0"/>
          <w:sz w:val="32"/>
          <w:szCs w:val="32"/>
          <w:lang w:eastAsia="ru-RU"/>
          <w14:ligatures w14:val="none"/>
        </w:rPr>
        <w:t xml:space="preserve">Галицький фаховий коледж </w:t>
      </w:r>
      <w:r w:rsidRPr="00111F16">
        <w:rPr>
          <w:rFonts w:ascii="Times New Roman" w:eastAsia="Times New Roman" w:hAnsi="Times New Roman" w:cs="Times New Roman"/>
          <w:b/>
          <w:spacing w:val="1"/>
          <w:kern w:val="0"/>
          <w:sz w:val="32"/>
          <w:szCs w:val="32"/>
          <w:lang w:eastAsia="ru-RU"/>
          <w14:ligatures w14:val="none"/>
        </w:rPr>
        <w:t xml:space="preserve"> </w:t>
      </w:r>
      <w:r w:rsidRPr="00111F16">
        <w:rPr>
          <w:rFonts w:ascii="Times New Roman" w:eastAsia="Times New Roman" w:hAnsi="Times New Roman" w:cs="Times New Roman"/>
          <w:b/>
          <w:kern w:val="0"/>
          <w:sz w:val="32"/>
          <w:szCs w:val="32"/>
          <w:lang w:eastAsia="ru-RU"/>
          <w14:ligatures w14:val="none"/>
        </w:rPr>
        <w:t>імені</w:t>
      </w:r>
      <w:r w:rsidRPr="00111F16">
        <w:rPr>
          <w:rFonts w:ascii="Times New Roman" w:eastAsia="Times New Roman" w:hAnsi="Times New Roman" w:cs="Times New Roman"/>
          <w:b/>
          <w:spacing w:val="-1"/>
          <w:kern w:val="0"/>
          <w:sz w:val="32"/>
          <w:szCs w:val="32"/>
          <w:lang w:eastAsia="ru-RU"/>
          <w14:ligatures w14:val="none"/>
        </w:rPr>
        <w:t xml:space="preserve"> </w:t>
      </w:r>
      <w:r w:rsidRPr="00111F16">
        <w:rPr>
          <w:rFonts w:ascii="Times New Roman" w:eastAsia="Times New Roman" w:hAnsi="Times New Roman" w:cs="Times New Roman"/>
          <w:b/>
          <w:kern w:val="0"/>
          <w:sz w:val="32"/>
          <w:szCs w:val="32"/>
          <w:lang w:eastAsia="ru-RU"/>
          <w14:ligatures w14:val="none"/>
        </w:rPr>
        <w:t>В’ячеслава</w:t>
      </w:r>
      <w:r w:rsidRPr="00111F16">
        <w:rPr>
          <w:rFonts w:ascii="Times New Roman" w:eastAsia="Times New Roman" w:hAnsi="Times New Roman" w:cs="Times New Roman"/>
          <w:b/>
          <w:spacing w:val="1"/>
          <w:kern w:val="0"/>
          <w:sz w:val="32"/>
          <w:szCs w:val="32"/>
          <w:lang w:eastAsia="ru-RU"/>
          <w14:ligatures w14:val="none"/>
        </w:rPr>
        <w:t xml:space="preserve"> </w:t>
      </w:r>
      <w:r w:rsidRPr="00111F16">
        <w:rPr>
          <w:rFonts w:ascii="Times New Roman" w:eastAsia="Times New Roman" w:hAnsi="Times New Roman" w:cs="Times New Roman"/>
          <w:b/>
          <w:kern w:val="0"/>
          <w:sz w:val="32"/>
          <w:szCs w:val="32"/>
          <w:lang w:eastAsia="ru-RU"/>
          <w14:ligatures w14:val="none"/>
        </w:rPr>
        <w:t>Чорновола</w:t>
      </w:r>
    </w:p>
    <w:p w14:paraId="212708DF" w14:textId="77777777" w:rsidR="00C81213" w:rsidRPr="00111F16" w:rsidRDefault="00C81213" w:rsidP="00C81213">
      <w:pPr>
        <w:keepNext/>
        <w:keepLines/>
        <w:spacing w:after="0" w:line="360" w:lineRule="auto"/>
        <w:ind w:right="11"/>
        <w:jc w:val="center"/>
        <w:outlineLvl w:val="0"/>
        <w:rPr>
          <w:rFonts w:ascii="Times New Roman" w:eastAsia="Times New Roman" w:hAnsi="Times New Roman" w:cs="Times New Roman"/>
          <w:b/>
          <w:kern w:val="0"/>
          <w:sz w:val="32"/>
          <w:szCs w:val="32"/>
          <w:lang w:eastAsia="ru-RU"/>
          <w14:ligatures w14:val="none"/>
        </w:rPr>
      </w:pPr>
      <w:r w:rsidRPr="00111F16">
        <w:rPr>
          <w:rFonts w:ascii="Times New Roman" w:eastAsia="Times New Roman" w:hAnsi="Times New Roman" w:cs="Times New Roman"/>
          <w:kern w:val="0"/>
          <w:sz w:val="32"/>
          <w:szCs w:val="32"/>
          <w:lang w:eastAsia="ru-RU"/>
          <w14:ligatures w14:val="none"/>
        </w:rPr>
        <w:t>Відділення</w:t>
      </w:r>
      <w:r w:rsidRPr="00111F16">
        <w:rPr>
          <w:rFonts w:ascii="Times New Roman" w:eastAsia="Times New Roman" w:hAnsi="Times New Roman" w:cs="Times New Roman"/>
          <w:spacing w:val="-6"/>
          <w:kern w:val="0"/>
          <w:sz w:val="32"/>
          <w:szCs w:val="32"/>
          <w:lang w:eastAsia="ru-RU"/>
          <w14:ligatures w14:val="none"/>
        </w:rPr>
        <w:t xml:space="preserve"> </w:t>
      </w:r>
      <w:r w:rsidRPr="00111F16">
        <w:rPr>
          <w:rFonts w:ascii="Times New Roman" w:eastAsia="Times New Roman" w:hAnsi="Times New Roman" w:cs="Times New Roman"/>
          <w:kern w:val="0"/>
          <w:sz w:val="32"/>
          <w:szCs w:val="32"/>
          <w:lang w:eastAsia="ru-RU"/>
          <w14:ligatures w14:val="none"/>
        </w:rPr>
        <w:t>сфери послуг</w:t>
      </w:r>
    </w:p>
    <w:p w14:paraId="718C1B9D" w14:textId="77777777" w:rsidR="00C81213" w:rsidRPr="00111F16" w:rsidRDefault="00C81213" w:rsidP="00C81213">
      <w:pPr>
        <w:widowControl w:val="0"/>
        <w:suppressAutoHyphens/>
        <w:spacing w:after="0" w:line="360" w:lineRule="auto"/>
        <w:ind w:left="5245" w:right="12" w:firstLine="709"/>
        <w:rPr>
          <w:rFonts w:ascii="Times New Roman" w:eastAsia="Times New Roman" w:hAnsi="Times New Roman" w:cs="Times New Roman"/>
          <w:kern w:val="0"/>
          <w:sz w:val="28"/>
          <w:szCs w:val="28"/>
          <w:lang w:eastAsia="ru-RU"/>
          <w14:ligatures w14:val="none"/>
        </w:rPr>
      </w:pPr>
    </w:p>
    <w:p w14:paraId="270C569D" w14:textId="77777777" w:rsidR="00C81213" w:rsidRPr="00111F16" w:rsidRDefault="00C81213" w:rsidP="00C81213">
      <w:pPr>
        <w:widowControl w:val="0"/>
        <w:suppressAutoHyphens/>
        <w:spacing w:after="0" w:line="360" w:lineRule="auto"/>
        <w:ind w:left="4820" w:right="12"/>
        <w:rPr>
          <w:rFonts w:ascii="Times New Roman" w:eastAsia="Times New Roman" w:hAnsi="Times New Roman" w:cs="Times New Roman"/>
          <w:kern w:val="0"/>
          <w:sz w:val="30"/>
          <w:szCs w:val="28"/>
          <w:lang w:eastAsia="ru-RU"/>
          <w14:ligatures w14:val="none"/>
        </w:rPr>
      </w:pPr>
      <w:r w:rsidRPr="00111F16">
        <w:rPr>
          <w:rFonts w:ascii="Times New Roman" w:eastAsia="Times New Roman" w:hAnsi="Times New Roman" w:cs="Times New Roman"/>
          <w:kern w:val="0"/>
          <w:sz w:val="28"/>
          <w:szCs w:val="28"/>
          <w:lang w:eastAsia="ru-RU"/>
          <w14:ligatures w14:val="none"/>
        </w:rPr>
        <w:t>Циклова комісія</w:t>
      </w:r>
      <w:r w:rsidRPr="00111F16">
        <w:rPr>
          <w:rFonts w:ascii="Times New Roman" w:eastAsia="Times New Roman" w:hAnsi="Times New Roman" w:cs="Times New Roman"/>
          <w:spacing w:val="1"/>
          <w:kern w:val="0"/>
          <w:sz w:val="28"/>
          <w:szCs w:val="28"/>
          <w:lang w:eastAsia="ru-RU"/>
          <w14:ligatures w14:val="none"/>
        </w:rPr>
        <w:t xml:space="preserve"> </w:t>
      </w:r>
      <w:r w:rsidRPr="00111F16">
        <w:rPr>
          <w:rFonts w:ascii="Times New Roman" w:eastAsia="Times New Roman" w:hAnsi="Times New Roman" w:cs="Times New Roman"/>
          <w:kern w:val="0"/>
          <w:sz w:val="28"/>
          <w:szCs w:val="28"/>
          <w:lang w:eastAsia="ru-RU"/>
          <w14:ligatures w14:val="none"/>
        </w:rPr>
        <w:t>геодезії, фінансів та загальноекономічних дисциплін</w:t>
      </w:r>
    </w:p>
    <w:p w14:paraId="1F639330" w14:textId="77777777" w:rsidR="00C81213" w:rsidRPr="00111F16" w:rsidRDefault="00C81213" w:rsidP="00C81213">
      <w:pPr>
        <w:widowControl w:val="0"/>
        <w:suppressAutoHyphens/>
        <w:spacing w:after="0" w:line="360" w:lineRule="auto"/>
        <w:ind w:firstLine="709"/>
        <w:rPr>
          <w:rFonts w:ascii="Times New Roman" w:eastAsia="Times New Roman" w:hAnsi="Times New Roman" w:cs="Times New Roman"/>
          <w:kern w:val="0"/>
          <w:sz w:val="30"/>
          <w:szCs w:val="28"/>
          <w:lang w:eastAsia="ru-RU"/>
          <w14:ligatures w14:val="none"/>
        </w:rPr>
      </w:pPr>
    </w:p>
    <w:p w14:paraId="4A125D39" w14:textId="77777777" w:rsidR="00C81213" w:rsidRPr="00111F16" w:rsidRDefault="00C81213" w:rsidP="00C81213">
      <w:pPr>
        <w:keepNext/>
        <w:keepLines/>
        <w:spacing w:after="0" w:line="360" w:lineRule="auto"/>
        <w:ind w:left="273" w:right="142" w:firstLine="709"/>
        <w:jc w:val="center"/>
        <w:outlineLvl w:val="0"/>
        <w:rPr>
          <w:rFonts w:ascii="Times New Roman" w:eastAsia="Times New Roman" w:hAnsi="Times New Roman" w:cs="Times New Roman"/>
          <w:b/>
          <w:kern w:val="0"/>
          <w:sz w:val="32"/>
          <w:szCs w:val="32"/>
          <w:lang w:eastAsia="ru-RU"/>
          <w14:ligatures w14:val="none"/>
        </w:rPr>
      </w:pPr>
      <w:r w:rsidRPr="00111F16">
        <w:rPr>
          <w:rFonts w:ascii="Times New Roman" w:eastAsia="Times New Roman" w:hAnsi="Times New Roman" w:cs="Times New Roman"/>
          <w:b/>
          <w:kern w:val="0"/>
          <w:sz w:val="32"/>
          <w:szCs w:val="32"/>
          <w:lang w:eastAsia="ru-RU"/>
          <w14:ligatures w14:val="none"/>
        </w:rPr>
        <w:t>ДИПЛОМНИЙ ПРОЄКТ</w:t>
      </w:r>
    </w:p>
    <w:p w14:paraId="3D8F23CE" w14:textId="77777777" w:rsidR="00C81213" w:rsidRPr="00111F16" w:rsidRDefault="00C81213" w:rsidP="00C81213">
      <w:pPr>
        <w:spacing w:after="0" w:line="240" w:lineRule="auto"/>
        <w:rPr>
          <w:rFonts w:ascii="Times New Roman" w:eastAsia="Times New Roman" w:hAnsi="Times New Roman" w:cs="Times New Roman"/>
          <w:kern w:val="0"/>
          <w:sz w:val="24"/>
          <w:szCs w:val="24"/>
          <w:lang w:eastAsia="ru-RU"/>
          <w14:ligatures w14:val="none"/>
        </w:rPr>
      </w:pPr>
    </w:p>
    <w:p w14:paraId="375D7658" w14:textId="77777777" w:rsidR="00C81213" w:rsidRPr="00111F16" w:rsidRDefault="00C81213" w:rsidP="00C81213">
      <w:pPr>
        <w:spacing w:after="0" w:line="360" w:lineRule="auto"/>
        <w:jc w:val="center"/>
        <w:rPr>
          <w:rFonts w:ascii="Times New Roman" w:eastAsia="Times New Roman" w:hAnsi="Times New Roman" w:cs="Times New Roman"/>
          <w:kern w:val="0"/>
          <w:sz w:val="28"/>
          <w:szCs w:val="24"/>
          <w:lang w:eastAsia="ru-RU"/>
          <w14:ligatures w14:val="none"/>
        </w:rPr>
      </w:pPr>
      <w:r w:rsidRPr="00111F16">
        <w:rPr>
          <w:rFonts w:ascii="Times New Roman" w:eastAsia="Times New Roman" w:hAnsi="Times New Roman" w:cs="Times New Roman"/>
          <w:kern w:val="0"/>
          <w:sz w:val="28"/>
          <w:szCs w:val="24"/>
          <w:lang w:eastAsia="ru-RU"/>
          <w14:ligatures w14:val="none"/>
        </w:rPr>
        <w:t>на тему: «</w:t>
      </w:r>
      <w:bookmarkStart w:id="0" w:name="_Hlk200549092"/>
      <w:r w:rsidRPr="00005F31">
        <w:rPr>
          <w:rFonts w:ascii="Times New Roman" w:eastAsia="Times New Roman" w:hAnsi="Times New Roman" w:cs="Times New Roman"/>
          <w:color w:val="000000"/>
          <w:sz w:val="28"/>
          <w:szCs w:val="24"/>
          <w:lang w:eastAsia="uk-UA"/>
        </w:rPr>
        <w:t>Інвентаризація земель як основа для здійснення землеустрою</w:t>
      </w:r>
      <w:bookmarkEnd w:id="0"/>
      <w:r w:rsidRPr="00111F16">
        <w:rPr>
          <w:rFonts w:ascii="Times New Roman" w:eastAsia="Times New Roman" w:hAnsi="Times New Roman" w:cs="Times New Roman"/>
          <w:bCs/>
          <w:color w:val="000000"/>
          <w:kern w:val="0"/>
          <w:sz w:val="28"/>
          <w:szCs w:val="28"/>
          <w:lang w:eastAsia="ru-RU"/>
          <w14:ligatures w14:val="none"/>
        </w:rPr>
        <w:t>»</w:t>
      </w:r>
    </w:p>
    <w:p w14:paraId="1791E603" w14:textId="77777777" w:rsidR="00C81213" w:rsidRPr="00111F16" w:rsidRDefault="00C81213" w:rsidP="00C81213">
      <w:pPr>
        <w:tabs>
          <w:tab w:val="left" w:leader="dot" w:pos="4208"/>
        </w:tabs>
        <w:spacing w:after="0" w:line="360" w:lineRule="auto"/>
        <w:jc w:val="center"/>
        <w:rPr>
          <w:rFonts w:ascii="Times New Roman" w:eastAsia="Times New Roman" w:hAnsi="Times New Roman" w:cs="Times New Roman"/>
          <w:kern w:val="0"/>
          <w:sz w:val="28"/>
          <w:szCs w:val="24"/>
          <w:lang w:val="ru-RU" w:eastAsia="ru-RU"/>
          <w14:ligatures w14:val="none"/>
        </w:rPr>
      </w:pPr>
      <w:r w:rsidRPr="00111F16">
        <w:rPr>
          <w:rFonts w:ascii="Times New Roman" w:eastAsia="Times New Roman" w:hAnsi="Times New Roman" w:cs="Times New Roman"/>
          <w:kern w:val="0"/>
          <w:sz w:val="28"/>
          <w:szCs w:val="24"/>
          <w:lang w:val="en-US" w:eastAsia="ru-RU"/>
          <w14:ligatures w14:val="none"/>
        </w:rPr>
        <w:t>«</w:t>
      </w:r>
      <w:r w:rsidRPr="00111F16">
        <w:t xml:space="preserve"> </w:t>
      </w:r>
      <w:r w:rsidRPr="00111F16">
        <w:rPr>
          <w:rFonts w:ascii="Times New Roman" w:eastAsia="Times New Roman" w:hAnsi="Times New Roman" w:cs="Times New Roman"/>
          <w:kern w:val="0"/>
          <w:sz w:val="28"/>
          <w:szCs w:val="24"/>
          <w:lang w:val="en-US" w:eastAsia="ru-RU"/>
          <w14:ligatures w14:val="none"/>
        </w:rPr>
        <w:t>Land inventory as a basis for land management</w:t>
      </w:r>
      <w:r w:rsidRPr="00111F16">
        <w:rPr>
          <w:rFonts w:ascii="Times New Roman" w:eastAsia="Times New Roman" w:hAnsi="Times New Roman" w:cs="Times New Roman"/>
          <w:kern w:val="0"/>
          <w:sz w:val="28"/>
          <w:szCs w:val="24"/>
          <w:lang w:val="ru-RU" w:eastAsia="ru-RU"/>
          <w14:ligatures w14:val="none"/>
        </w:rPr>
        <w:t>»</w:t>
      </w:r>
    </w:p>
    <w:p w14:paraId="5331C4F9" w14:textId="77777777" w:rsidR="00C81213" w:rsidRPr="00111F16" w:rsidRDefault="00C81213" w:rsidP="00C81213">
      <w:pPr>
        <w:tabs>
          <w:tab w:val="left" w:leader="dot" w:pos="4208"/>
        </w:tabs>
        <w:spacing w:after="0" w:line="360" w:lineRule="auto"/>
        <w:jc w:val="center"/>
        <w:rPr>
          <w:rFonts w:ascii="Times New Roman" w:eastAsia="Times New Roman" w:hAnsi="Times New Roman" w:cs="Times New Roman"/>
          <w:kern w:val="0"/>
          <w:sz w:val="28"/>
          <w:szCs w:val="24"/>
          <w:lang w:eastAsia="ru-RU"/>
          <w14:ligatures w14:val="none"/>
        </w:rPr>
      </w:pPr>
    </w:p>
    <w:p w14:paraId="375E7407" w14:textId="77777777" w:rsidR="00C81213" w:rsidRPr="00111F16" w:rsidRDefault="00C81213" w:rsidP="00C81213">
      <w:pPr>
        <w:keepNext/>
        <w:keepLines/>
        <w:spacing w:after="0" w:line="360" w:lineRule="auto"/>
        <w:ind w:left="5245"/>
        <w:outlineLvl w:val="1"/>
        <w:rPr>
          <w:rFonts w:ascii="Times New Roman" w:eastAsia="Times New Roman" w:hAnsi="Times New Roman" w:cs="Times New Roman"/>
          <w:b/>
          <w:kern w:val="0"/>
          <w:sz w:val="28"/>
          <w:szCs w:val="28"/>
          <w:lang w:eastAsia="ru-RU"/>
          <w14:ligatures w14:val="none"/>
        </w:rPr>
      </w:pPr>
      <w:r w:rsidRPr="00111F16">
        <w:rPr>
          <w:rFonts w:ascii="Times New Roman" w:eastAsia="Times New Roman" w:hAnsi="Times New Roman" w:cs="Times New Roman"/>
          <w:b/>
          <w:kern w:val="0"/>
          <w:sz w:val="28"/>
          <w:szCs w:val="28"/>
          <w:lang w:eastAsia="ru-RU"/>
          <w14:ligatures w14:val="none"/>
        </w:rPr>
        <w:t>Викона</w:t>
      </w:r>
      <w:r>
        <w:rPr>
          <w:rFonts w:ascii="Times New Roman" w:eastAsia="Times New Roman" w:hAnsi="Times New Roman" w:cs="Times New Roman"/>
          <w:b/>
          <w:kern w:val="0"/>
          <w:sz w:val="28"/>
          <w:szCs w:val="28"/>
          <w:lang w:eastAsia="ru-RU"/>
          <w14:ligatures w14:val="none"/>
        </w:rPr>
        <w:t>в</w:t>
      </w:r>
      <w:r w:rsidRPr="00111F16">
        <w:rPr>
          <w:rFonts w:ascii="Times New Roman" w:eastAsia="Times New Roman" w:hAnsi="Times New Roman" w:cs="Times New Roman"/>
          <w:b/>
          <w:kern w:val="0"/>
          <w:sz w:val="28"/>
          <w:szCs w:val="28"/>
          <w:lang w:eastAsia="ru-RU"/>
          <w14:ligatures w14:val="none"/>
        </w:rPr>
        <w:t>:</w:t>
      </w:r>
    </w:p>
    <w:p w14:paraId="3D95F5C7" w14:textId="77777777" w:rsidR="00C81213" w:rsidRPr="00111F16" w:rsidRDefault="00C81213" w:rsidP="00C81213">
      <w:pPr>
        <w:widowControl w:val="0"/>
        <w:tabs>
          <w:tab w:val="left" w:pos="6827"/>
          <w:tab w:val="left" w:pos="9596"/>
        </w:tabs>
        <w:suppressAutoHyphens/>
        <w:spacing w:after="0" w:line="360" w:lineRule="auto"/>
        <w:ind w:left="5245"/>
        <w:rPr>
          <w:rFonts w:ascii="Times New Roman" w:eastAsia="Times New Roman" w:hAnsi="Times New Roman" w:cs="Times New Roman"/>
          <w:kern w:val="0"/>
          <w:sz w:val="28"/>
          <w:szCs w:val="28"/>
          <w:lang w:eastAsia="ru-RU"/>
          <w14:ligatures w14:val="none"/>
        </w:rPr>
      </w:pPr>
      <w:r w:rsidRPr="00111F16">
        <w:rPr>
          <w:rFonts w:ascii="Times New Roman" w:eastAsia="Times New Roman" w:hAnsi="Times New Roman" w:cs="Times New Roman"/>
          <w:kern w:val="0"/>
          <w:sz w:val="28"/>
          <w:szCs w:val="28"/>
          <w:lang w:eastAsia="ru-RU"/>
          <w14:ligatures w14:val="none"/>
        </w:rPr>
        <w:t>студент IV курсу</w:t>
      </w:r>
      <w:r w:rsidRPr="00111F16">
        <w:rPr>
          <w:rFonts w:ascii="Times New Roman" w:eastAsia="Times New Roman" w:hAnsi="Times New Roman" w:cs="Times New Roman"/>
          <w:spacing w:val="-6"/>
          <w:kern w:val="0"/>
          <w:sz w:val="28"/>
          <w:szCs w:val="28"/>
          <w:lang w:eastAsia="ru-RU"/>
          <w14:ligatures w14:val="none"/>
        </w:rPr>
        <w:t xml:space="preserve"> </w:t>
      </w:r>
      <w:r w:rsidRPr="00111F16">
        <w:rPr>
          <w:rFonts w:ascii="Times New Roman" w:eastAsia="Times New Roman" w:hAnsi="Times New Roman" w:cs="Times New Roman"/>
          <w:kern w:val="0"/>
          <w:sz w:val="28"/>
          <w:szCs w:val="28"/>
          <w:lang w:eastAsia="ru-RU"/>
          <w14:ligatures w14:val="none"/>
        </w:rPr>
        <w:t>групи ГЗ-41</w:t>
      </w:r>
    </w:p>
    <w:p w14:paraId="3D02A6D7" w14:textId="77777777" w:rsidR="00C81213" w:rsidRPr="00111F16" w:rsidRDefault="00C81213" w:rsidP="00C81213">
      <w:pPr>
        <w:spacing w:after="0" w:line="360" w:lineRule="auto"/>
        <w:ind w:left="5245"/>
        <w:rPr>
          <w:rFonts w:ascii="Times New Roman" w:eastAsia="Times New Roman" w:hAnsi="Times New Roman" w:cs="Times New Roman"/>
          <w:i/>
          <w:kern w:val="0"/>
          <w:sz w:val="28"/>
          <w:szCs w:val="24"/>
          <w:lang w:eastAsia="ru-RU"/>
          <w14:ligatures w14:val="none"/>
        </w:rPr>
      </w:pPr>
      <w:r w:rsidRPr="00111F16">
        <w:rPr>
          <w:rFonts w:ascii="Times New Roman" w:eastAsia="Times New Roman" w:hAnsi="Times New Roman" w:cs="Times New Roman"/>
          <w:i/>
          <w:kern w:val="0"/>
          <w:sz w:val="28"/>
          <w:szCs w:val="24"/>
          <w:lang w:eastAsia="ru-RU"/>
          <w14:ligatures w14:val="none"/>
        </w:rPr>
        <w:t>спеціальності</w:t>
      </w:r>
      <w:r w:rsidRPr="00111F16">
        <w:rPr>
          <w:rFonts w:ascii="Times New Roman" w:eastAsia="Times New Roman" w:hAnsi="Times New Roman" w:cs="Times New Roman"/>
          <w:i/>
          <w:spacing w:val="-5"/>
          <w:kern w:val="0"/>
          <w:sz w:val="28"/>
          <w:szCs w:val="24"/>
          <w:lang w:eastAsia="ru-RU"/>
          <w14:ligatures w14:val="none"/>
        </w:rPr>
        <w:t xml:space="preserve"> </w:t>
      </w:r>
      <w:r w:rsidRPr="00111F16">
        <w:rPr>
          <w:rFonts w:ascii="Times New Roman" w:eastAsia="Times New Roman" w:hAnsi="Times New Roman" w:cs="Times New Roman"/>
          <w:i/>
          <w:kern w:val="0"/>
          <w:sz w:val="28"/>
          <w:szCs w:val="24"/>
          <w:lang w:eastAsia="ru-RU"/>
          <w14:ligatures w14:val="none"/>
        </w:rPr>
        <w:t>193 «Геодезія та землеустрій»</w:t>
      </w:r>
    </w:p>
    <w:p w14:paraId="29C74DE3" w14:textId="77777777" w:rsidR="00C81213" w:rsidRPr="00111F16" w:rsidRDefault="00C81213" w:rsidP="00C81213">
      <w:pPr>
        <w:spacing w:after="0" w:line="360" w:lineRule="auto"/>
        <w:ind w:left="5245"/>
        <w:rPr>
          <w:rFonts w:ascii="Times New Roman" w:eastAsia="Times New Roman" w:hAnsi="Times New Roman" w:cs="Times New Roman"/>
          <w:i/>
          <w:kern w:val="0"/>
          <w:sz w:val="28"/>
          <w:szCs w:val="24"/>
          <w:lang w:eastAsia="ru-RU"/>
          <w14:ligatures w14:val="none"/>
        </w:rPr>
      </w:pPr>
      <w:r>
        <w:rPr>
          <w:rFonts w:ascii="Times New Roman" w:eastAsia="Times New Roman" w:hAnsi="Times New Roman" w:cs="Times New Roman"/>
          <w:i/>
          <w:kern w:val="0"/>
          <w:sz w:val="28"/>
          <w:szCs w:val="24"/>
          <w:lang w:eastAsia="ru-RU"/>
          <w14:ligatures w14:val="none"/>
        </w:rPr>
        <w:t>Костюк Вадим</w:t>
      </w:r>
    </w:p>
    <w:p w14:paraId="5E03D7C0" w14:textId="77777777" w:rsidR="00C81213" w:rsidRPr="00111F16" w:rsidRDefault="00C81213" w:rsidP="00C81213">
      <w:pPr>
        <w:keepNext/>
        <w:keepLines/>
        <w:tabs>
          <w:tab w:val="left" w:pos="9905"/>
        </w:tabs>
        <w:spacing w:after="0" w:line="360" w:lineRule="auto"/>
        <w:ind w:left="5245"/>
        <w:outlineLvl w:val="1"/>
        <w:rPr>
          <w:rFonts w:ascii="Times New Roman" w:eastAsia="Times New Roman" w:hAnsi="Times New Roman" w:cs="Times New Roman"/>
          <w:b/>
          <w:iCs/>
          <w:kern w:val="0"/>
          <w:sz w:val="28"/>
          <w:szCs w:val="28"/>
          <w:lang w:eastAsia="ru-RU"/>
          <w14:ligatures w14:val="none"/>
        </w:rPr>
      </w:pPr>
      <w:r w:rsidRPr="00111F16">
        <w:rPr>
          <w:rFonts w:ascii="Times New Roman" w:eastAsia="Times New Roman" w:hAnsi="Times New Roman" w:cs="Times New Roman"/>
          <w:b/>
          <w:iCs/>
          <w:kern w:val="0"/>
          <w:sz w:val="28"/>
          <w:szCs w:val="28"/>
          <w:lang w:eastAsia="ru-RU"/>
          <w14:ligatures w14:val="none"/>
        </w:rPr>
        <w:t>Науковий</w:t>
      </w:r>
      <w:r w:rsidRPr="00111F16">
        <w:rPr>
          <w:rFonts w:ascii="Times New Roman" w:eastAsia="Times New Roman" w:hAnsi="Times New Roman" w:cs="Times New Roman"/>
          <w:b/>
          <w:iCs/>
          <w:spacing w:val="-3"/>
          <w:kern w:val="0"/>
          <w:sz w:val="28"/>
          <w:szCs w:val="28"/>
          <w:lang w:eastAsia="ru-RU"/>
          <w14:ligatures w14:val="none"/>
        </w:rPr>
        <w:t xml:space="preserve"> </w:t>
      </w:r>
      <w:r w:rsidRPr="00111F16">
        <w:rPr>
          <w:rFonts w:ascii="Times New Roman" w:eastAsia="Times New Roman" w:hAnsi="Times New Roman" w:cs="Times New Roman"/>
          <w:b/>
          <w:iCs/>
          <w:kern w:val="0"/>
          <w:sz w:val="28"/>
          <w:szCs w:val="28"/>
          <w:lang w:eastAsia="ru-RU"/>
          <w14:ligatures w14:val="none"/>
        </w:rPr>
        <w:t xml:space="preserve">керівник: </w:t>
      </w:r>
    </w:p>
    <w:p w14:paraId="5478DC3B" w14:textId="77777777" w:rsidR="00C81213" w:rsidRPr="00111F16" w:rsidRDefault="00C81213" w:rsidP="00C81213">
      <w:pPr>
        <w:keepNext/>
        <w:keepLines/>
        <w:tabs>
          <w:tab w:val="left" w:pos="9905"/>
        </w:tabs>
        <w:spacing w:after="0" w:line="360" w:lineRule="auto"/>
        <w:ind w:left="5245"/>
        <w:outlineLvl w:val="1"/>
        <w:rPr>
          <w:rFonts w:ascii="Times New Roman" w:eastAsia="Times New Roman" w:hAnsi="Times New Roman" w:cs="Times New Roman"/>
          <w:b/>
          <w:i/>
          <w:iCs/>
          <w:kern w:val="0"/>
          <w:sz w:val="26"/>
          <w:szCs w:val="26"/>
          <w:lang w:eastAsia="ru-RU"/>
          <w14:ligatures w14:val="none"/>
        </w:rPr>
      </w:pPr>
      <w:r>
        <w:rPr>
          <w:rFonts w:ascii="Times New Roman" w:eastAsia="Times New Roman" w:hAnsi="Times New Roman" w:cs="Times New Roman"/>
          <w:i/>
          <w:iCs/>
          <w:kern w:val="0"/>
          <w:sz w:val="28"/>
          <w:szCs w:val="28"/>
          <w:lang w:eastAsia="ru-RU"/>
          <w14:ligatures w14:val="none"/>
        </w:rPr>
        <w:t>Романська Д.П.</w:t>
      </w:r>
    </w:p>
    <w:p w14:paraId="3BA5AA76" w14:textId="77777777" w:rsidR="00C81213" w:rsidRPr="00111F16" w:rsidRDefault="00C81213" w:rsidP="00C81213">
      <w:pPr>
        <w:keepNext/>
        <w:keepLines/>
        <w:spacing w:after="0" w:line="360" w:lineRule="auto"/>
        <w:ind w:left="5245"/>
        <w:outlineLvl w:val="0"/>
        <w:rPr>
          <w:rFonts w:ascii="Times New Roman" w:eastAsia="Times New Roman" w:hAnsi="Times New Roman" w:cs="Times New Roman"/>
          <w:b/>
          <w:spacing w:val="-2"/>
          <w:kern w:val="0"/>
          <w:sz w:val="32"/>
          <w:szCs w:val="32"/>
          <w:lang w:eastAsia="ru-RU"/>
          <w14:ligatures w14:val="none"/>
        </w:rPr>
      </w:pPr>
      <w:r w:rsidRPr="00111F16">
        <w:rPr>
          <w:rFonts w:ascii="Times New Roman" w:eastAsia="Times New Roman" w:hAnsi="Times New Roman" w:cs="Times New Roman"/>
          <w:b/>
          <w:kern w:val="0"/>
          <w:sz w:val="32"/>
          <w:szCs w:val="32"/>
          <w:lang w:eastAsia="ru-RU"/>
          <w14:ligatures w14:val="none"/>
        </w:rPr>
        <w:t>Дипломний проєкт</w:t>
      </w:r>
      <w:r w:rsidRPr="00111F16">
        <w:rPr>
          <w:rFonts w:ascii="Times New Roman" w:eastAsia="Times New Roman" w:hAnsi="Times New Roman" w:cs="Times New Roman"/>
          <w:b/>
          <w:spacing w:val="-2"/>
          <w:kern w:val="0"/>
          <w:sz w:val="32"/>
          <w:szCs w:val="32"/>
          <w:lang w:eastAsia="ru-RU"/>
          <w14:ligatures w14:val="none"/>
        </w:rPr>
        <w:t xml:space="preserve"> </w:t>
      </w:r>
      <w:r w:rsidRPr="00111F16">
        <w:rPr>
          <w:rFonts w:ascii="Times New Roman" w:eastAsia="Times New Roman" w:hAnsi="Times New Roman" w:cs="Times New Roman"/>
          <w:b/>
          <w:kern w:val="0"/>
          <w:sz w:val="32"/>
          <w:szCs w:val="32"/>
          <w:lang w:eastAsia="ru-RU"/>
          <w14:ligatures w14:val="none"/>
        </w:rPr>
        <w:t>допущений</w:t>
      </w:r>
      <w:r w:rsidRPr="00111F16">
        <w:rPr>
          <w:rFonts w:ascii="Times New Roman" w:eastAsia="Times New Roman" w:hAnsi="Times New Roman" w:cs="Times New Roman"/>
          <w:b/>
          <w:spacing w:val="-3"/>
          <w:kern w:val="0"/>
          <w:sz w:val="32"/>
          <w:szCs w:val="32"/>
          <w:lang w:eastAsia="ru-RU"/>
          <w14:ligatures w14:val="none"/>
        </w:rPr>
        <w:t xml:space="preserve"> </w:t>
      </w:r>
      <w:r w:rsidRPr="00111F16">
        <w:rPr>
          <w:rFonts w:ascii="Times New Roman" w:eastAsia="Times New Roman" w:hAnsi="Times New Roman" w:cs="Times New Roman"/>
          <w:b/>
          <w:kern w:val="0"/>
          <w:sz w:val="32"/>
          <w:szCs w:val="32"/>
          <w:lang w:eastAsia="ru-RU"/>
          <w14:ligatures w14:val="none"/>
        </w:rPr>
        <w:t>до</w:t>
      </w:r>
      <w:r w:rsidRPr="00111F16">
        <w:rPr>
          <w:rFonts w:ascii="Times New Roman" w:eastAsia="Times New Roman" w:hAnsi="Times New Roman" w:cs="Times New Roman"/>
          <w:b/>
          <w:spacing w:val="-3"/>
          <w:kern w:val="0"/>
          <w:sz w:val="32"/>
          <w:szCs w:val="32"/>
          <w:lang w:eastAsia="ru-RU"/>
          <w14:ligatures w14:val="none"/>
        </w:rPr>
        <w:t xml:space="preserve"> </w:t>
      </w:r>
      <w:r w:rsidRPr="00111F16">
        <w:rPr>
          <w:rFonts w:ascii="Times New Roman" w:eastAsia="Times New Roman" w:hAnsi="Times New Roman" w:cs="Times New Roman"/>
          <w:b/>
          <w:kern w:val="0"/>
          <w:sz w:val="32"/>
          <w:szCs w:val="32"/>
          <w:lang w:eastAsia="ru-RU"/>
          <w14:ligatures w14:val="none"/>
        </w:rPr>
        <w:t>захисту:</w:t>
      </w:r>
    </w:p>
    <w:p w14:paraId="5D894157" w14:textId="77777777" w:rsidR="00C81213" w:rsidRPr="00111F16" w:rsidRDefault="00C81213" w:rsidP="00C81213">
      <w:pPr>
        <w:tabs>
          <w:tab w:val="left" w:pos="6784"/>
          <w:tab w:val="left" w:pos="8949"/>
        </w:tabs>
        <w:spacing w:after="0" w:line="360" w:lineRule="auto"/>
        <w:ind w:left="5245"/>
        <w:rPr>
          <w:rFonts w:ascii="Times New Roman" w:eastAsia="Times New Roman" w:hAnsi="Times New Roman" w:cs="Times New Roman"/>
          <w:b/>
          <w:kern w:val="0"/>
          <w:sz w:val="28"/>
          <w:szCs w:val="24"/>
          <w:lang w:eastAsia="ru-RU"/>
          <w14:ligatures w14:val="none"/>
        </w:rPr>
      </w:pPr>
      <w:r w:rsidRPr="00111F16">
        <w:rPr>
          <w:rFonts w:ascii="Times New Roman" w:eastAsia="Times New Roman" w:hAnsi="Times New Roman" w:cs="Times New Roman"/>
          <w:b/>
          <w:kern w:val="0"/>
          <w:sz w:val="28"/>
          <w:szCs w:val="24"/>
          <w:lang w:eastAsia="ru-RU"/>
          <w14:ligatures w14:val="none"/>
        </w:rPr>
        <w:t>«</w:t>
      </w:r>
      <w:r w:rsidRPr="00111F16">
        <w:rPr>
          <w:rFonts w:ascii="Times New Roman" w:eastAsia="Times New Roman" w:hAnsi="Times New Roman" w:cs="Times New Roman"/>
          <w:b/>
          <w:kern w:val="0"/>
          <w:sz w:val="28"/>
          <w:szCs w:val="24"/>
          <w:u w:val="single"/>
          <w:lang w:eastAsia="ru-RU"/>
          <w14:ligatures w14:val="none"/>
        </w:rPr>
        <w:t>____</w:t>
      </w:r>
      <w:r w:rsidRPr="00111F16">
        <w:rPr>
          <w:rFonts w:ascii="Times New Roman" w:eastAsia="Times New Roman" w:hAnsi="Times New Roman" w:cs="Times New Roman"/>
          <w:b/>
          <w:kern w:val="0"/>
          <w:sz w:val="28"/>
          <w:szCs w:val="24"/>
          <w:lang w:eastAsia="ru-RU"/>
          <w14:ligatures w14:val="none"/>
        </w:rPr>
        <w:t>»</w:t>
      </w:r>
      <w:r w:rsidRPr="00111F16">
        <w:rPr>
          <w:rFonts w:ascii="Times New Roman" w:eastAsia="Times New Roman" w:hAnsi="Times New Roman" w:cs="Times New Roman"/>
          <w:b/>
          <w:kern w:val="0"/>
          <w:sz w:val="28"/>
          <w:szCs w:val="24"/>
          <w:u w:val="single"/>
          <w:lang w:eastAsia="ru-RU"/>
          <w14:ligatures w14:val="none"/>
        </w:rPr>
        <w:tab/>
      </w:r>
      <w:r w:rsidRPr="00111F16">
        <w:rPr>
          <w:rFonts w:ascii="Times New Roman" w:eastAsia="Times New Roman" w:hAnsi="Times New Roman" w:cs="Times New Roman"/>
          <w:b/>
          <w:kern w:val="0"/>
          <w:sz w:val="28"/>
          <w:szCs w:val="24"/>
          <w:lang w:eastAsia="ru-RU"/>
          <w14:ligatures w14:val="none"/>
        </w:rPr>
        <w:t>2025р.</w:t>
      </w:r>
    </w:p>
    <w:p w14:paraId="759C8397" w14:textId="77777777" w:rsidR="00C81213" w:rsidRPr="00111F16" w:rsidRDefault="00C81213" w:rsidP="00C81213">
      <w:pPr>
        <w:keepNext/>
        <w:keepLines/>
        <w:spacing w:after="0" w:line="360" w:lineRule="auto"/>
        <w:ind w:left="5245"/>
        <w:outlineLvl w:val="0"/>
        <w:rPr>
          <w:rFonts w:ascii="Times New Roman" w:eastAsia="Times New Roman" w:hAnsi="Times New Roman" w:cs="Times New Roman"/>
          <w:kern w:val="0"/>
          <w:sz w:val="32"/>
          <w:szCs w:val="32"/>
          <w:lang w:eastAsia="ru-RU"/>
          <w14:ligatures w14:val="none"/>
        </w:rPr>
      </w:pPr>
      <w:r w:rsidRPr="00111F16">
        <w:rPr>
          <w:rFonts w:ascii="Times New Roman" w:eastAsia="Times New Roman" w:hAnsi="Times New Roman" w:cs="Times New Roman"/>
          <w:kern w:val="0"/>
          <w:sz w:val="32"/>
          <w:szCs w:val="32"/>
          <w:lang w:eastAsia="ru-RU"/>
          <w14:ligatures w14:val="none"/>
        </w:rPr>
        <w:t>Захист</w:t>
      </w:r>
      <w:r w:rsidRPr="00111F16">
        <w:rPr>
          <w:rFonts w:ascii="Times New Roman" w:eastAsia="Times New Roman" w:hAnsi="Times New Roman" w:cs="Times New Roman"/>
          <w:spacing w:val="-2"/>
          <w:kern w:val="0"/>
          <w:sz w:val="32"/>
          <w:szCs w:val="32"/>
          <w:lang w:eastAsia="ru-RU"/>
          <w14:ligatures w14:val="none"/>
        </w:rPr>
        <w:t xml:space="preserve"> </w:t>
      </w:r>
      <w:r w:rsidRPr="00111F16">
        <w:rPr>
          <w:rFonts w:ascii="Times New Roman" w:eastAsia="Times New Roman" w:hAnsi="Times New Roman" w:cs="Times New Roman"/>
          <w:kern w:val="0"/>
          <w:sz w:val="32"/>
          <w:szCs w:val="32"/>
          <w:lang w:eastAsia="ru-RU"/>
          <w14:ligatures w14:val="none"/>
        </w:rPr>
        <w:t>відбувся:</w:t>
      </w:r>
    </w:p>
    <w:p w14:paraId="107121A8" w14:textId="77777777" w:rsidR="00C81213" w:rsidRPr="00111F16" w:rsidRDefault="00C81213" w:rsidP="00C81213">
      <w:pPr>
        <w:tabs>
          <w:tab w:val="left" w:pos="6714"/>
          <w:tab w:val="left" w:pos="8813"/>
        </w:tabs>
        <w:spacing w:after="0" w:line="360" w:lineRule="auto"/>
        <w:ind w:left="5245"/>
        <w:rPr>
          <w:rFonts w:ascii="Times New Roman" w:eastAsia="Times New Roman" w:hAnsi="Times New Roman" w:cs="Times New Roman"/>
          <w:b/>
          <w:kern w:val="0"/>
          <w:sz w:val="28"/>
          <w:szCs w:val="24"/>
          <w:lang w:eastAsia="ru-RU"/>
          <w14:ligatures w14:val="none"/>
        </w:rPr>
      </w:pPr>
      <w:r w:rsidRPr="00111F16">
        <w:rPr>
          <w:rFonts w:ascii="Times New Roman" w:eastAsia="Times New Roman" w:hAnsi="Times New Roman" w:cs="Times New Roman"/>
          <w:b/>
          <w:kern w:val="0"/>
          <w:sz w:val="28"/>
          <w:szCs w:val="24"/>
          <w:lang w:eastAsia="ru-RU"/>
          <w14:ligatures w14:val="none"/>
        </w:rPr>
        <w:t>«</w:t>
      </w:r>
      <w:r w:rsidRPr="00111F16">
        <w:rPr>
          <w:rFonts w:ascii="Times New Roman" w:eastAsia="Times New Roman" w:hAnsi="Times New Roman" w:cs="Times New Roman"/>
          <w:b/>
          <w:kern w:val="0"/>
          <w:sz w:val="28"/>
          <w:szCs w:val="24"/>
          <w:u w:val="single"/>
          <w:lang w:eastAsia="ru-RU"/>
          <w14:ligatures w14:val="none"/>
        </w:rPr>
        <w:t>____</w:t>
      </w:r>
      <w:r w:rsidRPr="00111F16">
        <w:rPr>
          <w:rFonts w:ascii="Times New Roman" w:eastAsia="Times New Roman" w:hAnsi="Times New Roman" w:cs="Times New Roman"/>
          <w:b/>
          <w:kern w:val="0"/>
          <w:sz w:val="28"/>
          <w:szCs w:val="24"/>
          <w:lang w:eastAsia="ru-RU"/>
          <w14:ligatures w14:val="none"/>
        </w:rPr>
        <w:t>»</w:t>
      </w:r>
      <w:r w:rsidRPr="00111F16">
        <w:rPr>
          <w:rFonts w:ascii="Times New Roman" w:eastAsia="Times New Roman" w:hAnsi="Times New Roman" w:cs="Times New Roman"/>
          <w:b/>
          <w:kern w:val="0"/>
          <w:sz w:val="28"/>
          <w:szCs w:val="24"/>
          <w:u w:val="single"/>
          <w:lang w:eastAsia="ru-RU"/>
          <w14:ligatures w14:val="none"/>
        </w:rPr>
        <w:tab/>
      </w:r>
      <w:r w:rsidRPr="00111F16">
        <w:rPr>
          <w:rFonts w:ascii="Times New Roman" w:eastAsia="Times New Roman" w:hAnsi="Times New Roman" w:cs="Times New Roman"/>
          <w:b/>
          <w:kern w:val="0"/>
          <w:sz w:val="28"/>
          <w:szCs w:val="24"/>
          <w:lang w:eastAsia="ru-RU"/>
          <w14:ligatures w14:val="none"/>
        </w:rPr>
        <w:t>2025р.</w:t>
      </w:r>
    </w:p>
    <w:p w14:paraId="5F24EFCA" w14:textId="77777777" w:rsidR="00C81213" w:rsidRPr="00111F16" w:rsidRDefault="00C81213" w:rsidP="00C81213">
      <w:pPr>
        <w:widowControl w:val="0"/>
        <w:tabs>
          <w:tab w:val="left" w:pos="7689"/>
        </w:tabs>
        <w:suppressAutoHyphens/>
        <w:spacing w:after="0" w:line="360" w:lineRule="auto"/>
        <w:ind w:left="5245"/>
        <w:rPr>
          <w:rFonts w:ascii="Times New Roman" w:eastAsia="Times New Roman" w:hAnsi="Times New Roman" w:cs="Times New Roman"/>
          <w:kern w:val="0"/>
          <w:sz w:val="28"/>
          <w:szCs w:val="28"/>
          <w:u w:val="single"/>
          <w:lang w:eastAsia="ru-RU"/>
          <w14:ligatures w14:val="none"/>
        </w:rPr>
      </w:pPr>
      <w:r w:rsidRPr="00111F16">
        <w:rPr>
          <w:rFonts w:ascii="Times New Roman" w:eastAsia="Times New Roman" w:hAnsi="Times New Roman" w:cs="Times New Roman"/>
          <w:kern w:val="0"/>
          <w:sz w:val="28"/>
          <w:szCs w:val="28"/>
          <w:lang w:eastAsia="ru-RU"/>
          <w14:ligatures w14:val="none"/>
        </w:rPr>
        <w:t xml:space="preserve">Оцінка </w:t>
      </w:r>
      <w:r w:rsidRPr="00111F16">
        <w:rPr>
          <w:rFonts w:ascii="Times New Roman" w:eastAsia="Times New Roman" w:hAnsi="Times New Roman" w:cs="Times New Roman"/>
          <w:kern w:val="0"/>
          <w:sz w:val="28"/>
          <w:szCs w:val="28"/>
          <w:u w:val="single"/>
          <w:lang w:eastAsia="ru-RU"/>
          <w14:ligatures w14:val="none"/>
        </w:rPr>
        <w:t xml:space="preserve"> </w:t>
      </w:r>
      <w:r w:rsidRPr="00111F16">
        <w:rPr>
          <w:rFonts w:ascii="Times New Roman" w:eastAsia="Times New Roman" w:hAnsi="Times New Roman" w:cs="Times New Roman"/>
          <w:kern w:val="0"/>
          <w:sz w:val="28"/>
          <w:szCs w:val="28"/>
          <w:u w:val="single"/>
          <w:lang w:eastAsia="ru-RU"/>
          <w14:ligatures w14:val="none"/>
        </w:rPr>
        <w:tab/>
      </w:r>
    </w:p>
    <w:p w14:paraId="270FF658" w14:textId="77777777" w:rsidR="00C81213" w:rsidRPr="00111F16" w:rsidRDefault="00C81213" w:rsidP="00C81213">
      <w:pPr>
        <w:keepNext/>
        <w:keepLines/>
        <w:spacing w:after="0" w:line="360" w:lineRule="auto"/>
        <w:ind w:right="1128" w:firstLine="709"/>
        <w:jc w:val="center"/>
        <w:outlineLvl w:val="0"/>
        <w:rPr>
          <w:rFonts w:ascii="Times New Roman" w:eastAsia="Times New Roman" w:hAnsi="Times New Roman" w:cs="Times New Roman"/>
          <w:kern w:val="0"/>
          <w:sz w:val="32"/>
          <w:szCs w:val="32"/>
          <w:lang w:eastAsia="ru-RU"/>
          <w14:ligatures w14:val="none"/>
        </w:rPr>
      </w:pPr>
    </w:p>
    <w:p w14:paraId="2A6A5F45" w14:textId="77777777" w:rsidR="00C81213" w:rsidRPr="00111F16" w:rsidRDefault="00C81213" w:rsidP="00C81213">
      <w:pPr>
        <w:keepNext/>
        <w:keepLines/>
        <w:spacing w:after="0" w:line="360" w:lineRule="auto"/>
        <w:ind w:right="1128" w:firstLine="709"/>
        <w:jc w:val="center"/>
        <w:outlineLvl w:val="0"/>
        <w:rPr>
          <w:rFonts w:ascii="Times New Roman" w:eastAsia="Times New Roman" w:hAnsi="Times New Roman" w:cs="Times New Roman"/>
          <w:b/>
          <w:kern w:val="0"/>
          <w:sz w:val="32"/>
          <w:szCs w:val="32"/>
          <w:lang w:eastAsia="ru-RU"/>
          <w14:ligatures w14:val="none"/>
        </w:rPr>
      </w:pPr>
      <w:r w:rsidRPr="00111F16">
        <w:rPr>
          <w:rFonts w:ascii="Times New Roman" w:eastAsia="Times New Roman" w:hAnsi="Times New Roman" w:cs="Times New Roman"/>
          <w:b/>
          <w:kern w:val="0"/>
          <w:sz w:val="32"/>
          <w:szCs w:val="32"/>
          <w:lang w:eastAsia="ru-RU"/>
          <w14:ligatures w14:val="none"/>
        </w:rPr>
        <w:t>Тернопіль,</w:t>
      </w:r>
      <w:r w:rsidRPr="00111F16">
        <w:rPr>
          <w:rFonts w:ascii="Times New Roman" w:eastAsia="Times New Roman" w:hAnsi="Times New Roman" w:cs="Times New Roman"/>
          <w:b/>
          <w:spacing w:val="-4"/>
          <w:kern w:val="0"/>
          <w:sz w:val="32"/>
          <w:szCs w:val="32"/>
          <w:lang w:eastAsia="ru-RU"/>
          <w14:ligatures w14:val="none"/>
        </w:rPr>
        <w:t xml:space="preserve"> </w:t>
      </w:r>
      <w:r w:rsidRPr="00111F16">
        <w:rPr>
          <w:rFonts w:ascii="Times New Roman" w:eastAsia="Times New Roman" w:hAnsi="Times New Roman" w:cs="Times New Roman"/>
          <w:b/>
          <w:kern w:val="0"/>
          <w:sz w:val="32"/>
          <w:szCs w:val="32"/>
          <w:lang w:eastAsia="ru-RU"/>
          <w14:ligatures w14:val="none"/>
        </w:rPr>
        <w:t>2025</w:t>
      </w:r>
    </w:p>
    <w:p w14:paraId="4DD5909D" w14:textId="77777777" w:rsidR="00C81213" w:rsidRPr="00111F16" w:rsidRDefault="00C81213" w:rsidP="00C81213">
      <w:pPr>
        <w:spacing w:after="0" w:line="360" w:lineRule="auto"/>
        <w:ind w:firstLine="709"/>
        <w:rPr>
          <w:rFonts w:ascii="Times New Roman" w:eastAsia="Times New Roman" w:hAnsi="Times New Roman" w:cs="Times New Roman"/>
          <w:kern w:val="0"/>
          <w:sz w:val="24"/>
          <w:szCs w:val="24"/>
          <w:lang w:eastAsia="ru-RU"/>
          <w14:ligatures w14:val="none"/>
        </w:rPr>
      </w:pPr>
    </w:p>
    <w:p w14:paraId="1519B9DE" w14:textId="77777777" w:rsidR="00C81213" w:rsidRPr="00111F16" w:rsidRDefault="00C81213" w:rsidP="00C81213">
      <w:pPr>
        <w:widowControl w:val="0"/>
        <w:autoSpaceDE w:val="0"/>
        <w:autoSpaceDN w:val="0"/>
        <w:spacing w:line="360" w:lineRule="auto"/>
        <w:ind w:right="141"/>
        <w:outlineLvl w:val="0"/>
        <w:rPr>
          <w:rFonts w:ascii="Times New Roman" w:eastAsia="Times New Roman" w:hAnsi="Times New Roman" w:cs="Times New Roman"/>
          <w:bCs/>
          <w:kern w:val="0"/>
          <w:sz w:val="28"/>
          <w:szCs w:val="28"/>
          <w:lang w:eastAsia="ru-RU"/>
          <w14:ligatures w14:val="none"/>
        </w:rPr>
      </w:pPr>
      <w:r>
        <w:rPr>
          <w:rFonts w:ascii="Times New Roman" w:eastAsia="Times New Roman" w:hAnsi="Times New Roman" w:cs="Times New Roman"/>
          <w:kern w:val="0"/>
          <w:sz w:val="20"/>
          <w:szCs w:val="20"/>
          <w:lang w:eastAsia="ru-RU"/>
          <w14:ligatures w14:val="none"/>
        </w:rPr>
        <w:t xml:space="preserve"> </w:t>
      </w:r>
    </w:p>
    <w:p w14:paraId="2A42E21A" w14:textId="4BBE7996" w:rsidR="002015DF" w:rsidRPr="002015DF" w:rsidRDefault="00162CCB" w:rsidP="00C81213">
      <w:pPr>
        <w:pageBreakBefore/>
        <w:spacing w:after="0" w:line="360" w:lineRule="auto"/>
        <w:ind w:firstLine="706"/>
        <w:jc w:val="center"/>
        <w:rPr>
          <w:rFonts w:ascii="Times New Roman" w:eastAsia="Times New Roman" w:hAnsi="Times New Roman" w:cs="Times New Roman"/>
          <w:b/>
          <w:kern w:val="0"/>
          <w:sz w:val="28"/>
          <w:szCs w:val="28"/>
          <w:lang w:eastAsia="ru-RU"/>
          <w14:ligatures w14:val="none"/>
        </w:rPr>
      </w:pPr>
      <w:r>
        <w:rPr>
          <w:rFonts w:ascii="Times New Roman" w:eastAsia="Times New Roman" w:hAnsi="Times New Roman" w:cs="Times New Roman"/>
          <w:b/>
          <w:noProof/>
          <w:kern w:val="0"/>
          <w:sz w:val="28"/>
          <w:szCs w:val="28"/>
          <w:lang w:val="ru-RU" w:eastAsia="ru-RU"/>
        </w:rPr>
        <w:lastRenderedPageBreak/>
        <mc:AlternateContent>
          <mc:Choice Requires="wps">
            <w:drawing>
              <wp:anchor distT="0" distB="0" distL="114300" distR="114300" simplePos="0" relativeHeight="251661312" behindDoc="0" locked="0" layoutInCell="1" allowOverlap="1" wp14:anchorId="654B4056" wp14:editId="10CBD18F">
                <wp:simplePos x="0" y="0"/>
                <wp:positionH relativeFrom="column">
                  <wp:posOffset>5853430</wp:posOffset>
                </wp:positionH>
                <wp:positionV relativeFrom="paragraph">
                  <wp:posOffset>-381000</wp:posOffset>
                </wp:positionV>
                <wp:extent cx="457200" cy="228600"/>
                <wp:effectExtent l="0" t="0" r="19050" b="19050"/>
                <wp:wrapNone/>
                <wp:docPr id="1764868965" name="Прямокутник 3"/>
                <wp:cNvGraphicFramePr/>
                <a:graphic xmlns:a="http://schemas.openxmlformats.org/drawingml/2006/main">
                  <a:graphicData uri="http://schemas.microsoft.com/office/word/2010/wordprocessingShape">
                    <wps:wsp>
                      <wps:cNvSpPr/>
                      <wps:spPr>
                        <a:xfrm>
                          <a:off x="0" y="0"/>
                          <a:ext cx="457200" cy="2286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2419640" id="Прямокутник 3" o:spid="_x0000_s1026" style="position:absolute;margin-left:460.9pt;margin-top:-30pt;width:36pt;height:1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" fillcolor="white [3212]" strokecolor="white [3212]" strokeweight="1pt"/>
            </w:pict>
          </mc:Fallback>
        </mc:AlternateContent>
      </w:r>
      <w:r w:rsidR="002015DF" w:rsidRPr="002015DF">
        <w:rPr>
          <w:rFonts w:ascii="Times New Roman" w:eastAsia="Times New Roman" w:hAnsi="Times New Roman" w:cs="Times New Roman"/>
          <w:b/>
          <w:kern w:val="0"/>
          <w:sz w:val="28"/>
          <w:szCs w:val="28"/>
          <w:lang w:eastAsia="ru-RU"/>
          <w14:ligatures w14:val="none"/>
        </w:rPr>
        <w:t>РЕФЕРАТ</w:t>
      </w:r>
    </w:p>
    <w:p w14:paraId="3B04668A" w14:textId="77777777" w:rsidR="00DB5A7F" w:rsidRPr="00F17D94" w:rsidRDefault="00DB5A7F" w:rsidP="00737D58">
      <w:pPr>
        <w:spacing w:after="0" w:line="360" w:lineRule="auto"/>
        <w:ind w:firstLine="709"/>
        <w:jc w:val="both"/>
        <w:rPr>
          <w:rFonts w:ascii="Times New Roman" w:hAnsi="Times New Roman" w:cs="Times New Roman"/>
          <w:sz w:val="28"/>
          <w:szCs w:val="28"/>
        </w:rPr>
      </w:pPr>
    </w:p>
    <w:p w14:paraId="10083DD2" w14:textId="3EAFB7DA" w:rsidR="00DB5A7F" w:rsidRPr="00F17D94" w:rsidRDefault="00DB5A7F" w:rsidP="00737D58">
      <w:pPr>
        <w:spacing w:after="0" w:line="360" w:lineRule="auto"/>
        <w:ind w:firstLine="709"/>
        <w:jc w:val="both"/>
        <w:rPr>
          <w:rFonts w:ascii="Times New Roman" w:hAnsi="Times New Roman" w:cs="Times New Roman"/>
          <w:sz w:val="28"/>
          <w:szCs w:val="28"/>
        </w:rPr>
      </w:pPr>
      <w:r w:rsidRPr="00F17D94">
        <w:rPr>
          <w:rFonts w:ascii="Times New Roman" w:eastAsia="Times New Roman" w:hAnsi="Times New Roman" w:cs="Times New Roman"/>
          <w:sz w:val="28"/>
          <w:szCs w:val="28"/>
        </w:rPr>
        <w:t>Робота складається зі вступу, трьох розділів, висновків; містить 78 сторінок тексту, 4 рисунки, 5 таблиць. Список використаних джерел містить 59 найменувань.</w:t>
      </w:r>
    </w:p>
    <w:p w14:paraId="5EBA5808" w14:textId="477F090C" w:rsidR="00F3462D" w:rsidRPr="00F17D94" w:rsidRDefault="00F3462D" w:rsidP="00737D58">
      <w:pPr>
        <w:spacing w:after="0" w:line="360" w:lineRule="auto"/>
        <w:ind w:firstLine="709"/>
        <w:jc w:val="both"/>
        <w:rPr>
          <w:rFonts w:ascii="Times New Roman" w:hAnsi="Times New Roman" w:cs="Times New Roman"/>
          <w:sz w:val="28"/>
          <w:szCs w:val="28"/>
        </w:rPr>
      </w:pPr>
      <w:r w:rsidRPr="00F3462D">
        <w:rPr>
          <w:rFonts w:ascii="Times New Roman" w:eastAsia="Times New Roman" w:hAnsi="Times New Roman" w:cs="Times New Roman"/>
          <w:sz w:val="28"/>
          <w:szCs w:val="28"/>
        </w:rPr>
        <w:t xml:space="preserve">Дипломна робота на тему «Інвентаризація земель як основа для здійснення землеустрою» присвячена дослідженню ролі інвентаризації земель у формуванні ефективної системи землеустрою в умовах трансформації земельних відносин, децентралізації управління та </w:t>
      </w:r>
      <w:r w:rsidRPr="00F3462D">
        <w:rPr>
          <w:rFonts w:ascii="Times New Roman" w:hAnsi="Times New Roman" w:cs="Times New Roman"/>
          <w:sz w:val="28"/>
          <w:szCs w:val="28"/>
        </w:rPr>
        <w:t>цифровізації кадастрових процесів.</w:t>
      </w:r>
    </w:p>
    <w:p w14:paraId="2232EF77" w14:textId="6F8AF430" w:rsidR="00F3462D" w:rsidRPr="00F17D94" w:rsidRDefault="00F3462D" w:rsidP="00737D58">
      <w:pPr>
        <w:spacing w:after="0" w:line="360" w:lineRule="auto"/>
        <w:ind w:firstLine="709"/>
        <w:jc w:val="both"/>
        <w:rPr>
          <w:rFonts w:ascii="Times New Roman" w:hAnsi="Times New Roman" w:cs="Times New Roman"/>
          <w:sz w:val="28"/>
          <w:szCs w:val="28"/>
        </w:rPr>
      </w:pPr>
      <w:r w:rsidRPr="00F3462D">
        <w:rPr>
          <w:rFonts w:ascii="Times New Roman" w:eastAsia="Times New Roman" w:hAnsi="Times New Roman" w:cs="Times New Roman"/>
          <w:sz w:val="28"/>
          <w:szCs w:val="28"/>
        </w:rPr>
        <w:t>Метою роботи є аналіз теоретико-правових засад, процедурної організації та практичного значення інвентаризації земель як передумови раціонального використання, охорони та впорядкування територіальних ресурсів.</w:t>
      </w:r>
    </w:p>
    <w:p w14:paraId="17195D95" w14:textId="77777777" w:rsidR="00F3462D" w:rsidRPr="00F3462D" w:rsidRDefault="00F3462D" w:rsidP="00737D58">
      <w:pPr>
        <w:spacing w:after="0" w:line="360" w:lineRule="auto"/>
        <w:ind w:firstLine="709"/>
        <w:jc w:val="both"/>
        <w:rPr>
          <w:rFonts w:ascii="Times New Roman" w:hAnsi="Times New Roman" w:cs="Times New Roman"/>
          <w:sz w:val="28"/>
          <w:szCs w:val="28"/>
        </w:rPr>
      </w:pPr>
      <w:r w:rsidRPr="00F3462D">
        <w:rPr>
          <w:rFonts w:ascii="Times New Roman" w:eastAsia="Times New Roman" w:hAnsi="Times New Roman" w:cs="Times New Roman"/>
          <w:sz w:val="28"/>
          <w:szCs w:val="28"/>
        </w:rPr>
        <w:t>Об’єкт дослідження — земельні ресурси України.</w:t>
      </w:r>
    </w:p>
    <w:p w14:paraId="6B5D8640" w14:textId="40C6C5AE" w:rsidR="00F3462D" w:rsidRPr="007A6A9C" w:rsidRDefault="00F3462D" w:rsidP="00737D58">
      <w:pPr>
        <w:spacing w:after="0" w:line="360" w:lineRule="auto"/>
        <w:ind w:firstLine="709"/>
        <w:jc w:val="both"/>
        <w:rPr>
          <w:rFonts w:ascii="Times New Roman" w:hAnsi="Times New Roman" w:cs="Times New Roman"/>
          <w:sz w:val="28"/>
          <w:szCs w:val="28"/>
        </w:rPr>
      </w:pPr>
      <w:r w:rsidRPr="00F3462D">
        <w:rPr>
          <w:rFonts w:ascii="Times New Roman" w:eastAsia="Times New Roman" w:hAnsi="Times New Roman" w:cs="Times New Roman"/>
          <w:sz w:val="28"/>
          <w:szCs w:val="28"/>
        </w:rPr>
        <w:t>Предмет дослідження — інвентаризація земель як функціональний інструмент землеустрою.</w:t>
      </w:r>
    </w:p>
    <w:p w14:paraId="1EC308C5" w14:textId="249A81F3" w:rsidR="00F3462D" w:rsidRPr="007A6A9C" w:rsidRDefault="00F3462D" w:rsidP="00737D58">
      <w:pPr>
        <w:spacing w:after="0" w:line="360" w:lineRule="auto"/>
        <w:ind w:firstLine="709"/>
        <w:jc w:val="both"/>
        <w:rPr>
          <w:rFonts w:ascii="Times New Roman" w:hAnsi="Times New Roman" w:cs="Times New Roman"/>
          <w:sz w:val="28"/>
          <w:szCs w:val="28"/>
        </w:rPr>
      </w:pPr>
      <w:r w:rsidRPr="00F3462D">
        <w:rPr>
          <w:rFonts w:ascii="Times New Roman" w:eastAsia="Times New Roman" w:hAnsi="Times New Roman" w:cs="Times New Roman"/>
          <w:sz w:val="28"/>
          <w:szCs w:val="28"/>
        </w:rPr>
        <w:t>У процесі дослідження охарактеризовано сутність інвентаризації як комплексної правової, технічної та геоінформаційної процедури. Детально розглянуто нормативно-правову базу, що регулює проведення інвентаризації земель в Україні. Визначено її роль у виявленні фактичного стану землекористування, фіксації меж, перевірці правового статусу ділянок, а також у виведенні земель з тіньового обігу.</w:t>
      </w:r>
    </w:p>
    <w:p w14:paraId="5C291A8B" w14:textId="567803AB" w:rsidR="00F3462D" w:rsidRPr="007A6A9C" w:rsidRDefault="00F3462D" w:rsidP="00737D58">
      <w:pPr>
        <w:spacing w:after="0" w:line="360" w:lineRule="auto"/>
        <w:ind w:firstLine="709"/>
        <w:jc w:val="both"/>
        <w:rPr>
          <w:rFonts w:ascii="Times New Roman" w:hAnsi="Times New Roman" w:cs="Times New Roman"/>
          <w:sz w:val="28"/>
          <w:szCs w:val="28"/>
        </w:rPr>
      </w:pPr>
      <w:r w:rsidRPr="00F3462D">
        <w:rPr>
          <w:rFonts w:ascii="Times New Roman" w:eastAsia="Times New Roman" w:hAnsi="Times New Roman" w:cs="Times New Roman"/>
          <w:sz w:val="28"/>
          <w:szCs w:val="28"/>
        </w:rPr>
        <w:t>Практична частина роботи присвячена аналізу етапів організації інвентаризаційних робіт, особливостей формування технічної документації, використання ГІС-технологій та інтеграції результатів у державний земельний кадастр.</w:t>
      </w:r>
    </w:p>
    <w:p w14:paraId="124AC1C7" w14:textId="2DE1E503" w:rsidR="00F3462D" w:rsidRPr="00E35D3A" w:rsidRDefault="00F3462D" w:rsidP="00E35D3A">
      <w:pPr>
        <w:spacing w:after="0" w:line="360" w:lineRule="auto"/>
        <w:ind w:firstLine="709"/>
        <w:jc w:val="both"/>
        <w:rPr>
          <w:rFonts w:ascii="Times New Roman" w:hAnsi="Times New Roman" w:cs="Times New Roman"/>
          <w:sz w:val="28"/>
          <w:szCs w:val="28"/>
          <w:lang w:val="ru-RU"/>
        </w:rPr>
      </w:pPr>
      <w:r w:rsidRPr="00F3462D">
        <w:rPr>
          <w:rFonts w:ascii="Times New Roman" w:eastAsia="Times New Roman" w:hAnsi="Times New Roman" w:cs="Times New Roman"/>
          <w:sz w:val="28"/>
          <w:szCs w:val="28"/>
        </w:rPr>
        <w:t>У результаті дослідження обґрунтовано, що інвентаризація земель є ключовим етапом у формуванні стратегій просторового розвитку, визначенні резервів територій, легалізації прав власності та вдосконаленні інструментів державного управління земельними ресурсами.</w:t>
      </w:r>
      <w:bookmarkStart w:id="1" w:name="_GoBack"/>
      <w:bookmarkEnd w:id="1"/>
    </w:p>
    <w:p w14:paraId="71FFE86C" w14:textId="1ED7479E" w:rsidR="00F3462D" w:rsidRPr="00F3462D" w:rsidRDefault="00162CCB" w:rsidP="00F3462D">
      <w:pPr>
        <w:spacing w:after="0" w:line="360" w:lineRule="auto"/>
        <w:ind w:firstLine="706"/>
        <w:jc w:val="center"/>
        <w:rPr>
          <w:rFonts w:ascii="Times New Roman" w:hAnsi="Times New Roman" w:cs="Times New Roman"/>
          <w:b/>
          <w:bCs/>
          <w:sz w:val="28"/>
          <w:szCs w:val="28"/>
        </w:rPr>
      </w:pPr>
      <w:r>
        <w:rPr>
          <w:rFonts w:ascii="Times New Roman" w:eastAsia="Times New Roman" w:hAnsi="Times New Roman" w:cs="Times New Roman"/>
          <w:b/>
          <w:bCs/>
          <w:noProof/>
          <w:sz w:val="28"/>
          <w:szCs w:val="28"/>
          <w:lang w:val="ru-RU" w:eastAsia="ru-RU"/>
        </w:rPr>
        <w:lastRenderedPageBreak/>
        <mc:AlternateContent>
          <mc:Choice Requires="wps">
            <w:drawing>
              <wp:anchor distT="0" distB="0" distL="114300" distR="114300" simplePos="0" relativeHeight="251662336" behindDoc="0" locked="0" layoutInCell="1" allowOverlap="1" wp14:anchorId="43E3425A" wp14:editId="0791FDAE">
                <wp:simplePos x="0" y="0"/>
                <wp:positionH relativeFrom="column">
                  <wp:posOffset>5834380</wp:posOffset>
                </wp:positionH>
                <wp:positionV relativeFrom="paragraph">
                  <wp:posOffset>-390525</wp:posOffset>
                </wp:positionV>
                <wp:extent cx="419100" cy="209550"/>
                <wp:effectExtent l="0" t="0" r="19050" b="19050"/>
                <wp:wrapNone/>
                <wp:docPr id="1298293268" name="Прямокутник 4"/>
                <wp:cNvGraphicFramePr/>
                <a:graphic xmlns:a="http://schemas.openxmlformats.org/drawingml/2006/main">
                  <a:graphicData uri="http://schemas.microsoft.com/office/word/2010/wordprocessingShape">
                    <wps:wsp>
                      <wps:cNvSpPr/>
                      <wps:spPr>
                        <a:xfrm>
                          <a:off x="0" y="0"/>
                          <a:ext cx="419100" cy="20955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89DB9FF" id="Прямокутник 4" o:spid="_x0000_s1026" style="position:absolute;margin-left:459.4pt;margin-top:-30.75pt;width:33pt;height:16.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" fillcolor="white [3212]" strokecolor="white [3212]" strokeweight="1pt"/>
            </w:pict>
          </mc:Fallback>
        </mc:AlternateContent>
      </w:r>
      <w:r w:rsidR="00F3462D" w:rsidRPr="00F3462D">
        <w:rPr>
          <w:rFonts w:ascii="Times New Roman" w:eastAsia="Times New Roman" w:hAnsi="Times New Roman" w:cs="Times New Roman"/>
          <w:b/>
          <w:bCs/>
          <w:sz w:val="28"/>
          <w:szCs w:val="28"/>
        </w:rPr>
        <w:t>ABSTRACT</w:t>
      </w:r>
    </w:p>
    <w:p w14:paraId="01847CB0" w14:textId="77777777" w:rsidR="00F3462D" w:rsidRPr="00F3462D" w:rsidRDefault="00F3462D" w:rsidP="00F3462D">
      <w:pPr>
        <w:spacing w:after="0" w:line="360" w:lineRule="auto"/>
        <w:ind w:firstLine="706"/>
        <w:jc w:val="both"/>
        <w:rPr>
          <w:rFonts w:ascii="Times New Roman" w:hAnsi="Times New Roman" w:cs="Times New Roman"/>
          <w:sz w:val="28"/>
          <w:szCs w:val="28"/>
        </w:rPr>
      </w:pPr>
    </w:p>
    <w:p w14:paraId="52B00C61" w14:textId="77777777" w:rsidR="00F3462D" w:rsidRPr="00F3462D" w:rsidRDefault="00F3462D" w:rsidP="00737D58">
      <w:pPr>
        <w:spacing w:after="0" w:line="360" w:lineRule="auto"/>
        <w:ind w:firstLine="709"/>
        <w:jc w:val="both"/>
        <w:rPr>
          <w:rFonts w:ascii="Times New Roman" w:hAnsi="Times New Roman" w:cs="Times New Roman"/>
          <w:sz w:val="28"/>
          <w:szCs w:val="28"/>
        </w:rPr>
      </w:pPr>
      <w:r w:rsidRPr="00F3462D">
        <w:rPr>
          <w:rFonts w:ascii="Times New Roman" w:eastAsia="Times New Roman" w:hAnsi="Times New Roman" w:cs="Times New Roman"/>
          <w:sz w:val="28"/>
          <w:szCs w:val="28"/>
        </w:rPr>
        <w:t>The</w:t>
      </w:r>
      <w:r w:rsidRPr="00F3462D">
        <w:rPr>
          <w:rFonts w:ascii="Times New Roman" w:hAnsi="Times New Roman" w:cs="Times New Roman"/>
          <w:sz w:val="28"/>
          <w:szCs w:val="28"/>
        </w:rPr>
        <w:t xml:space="preserve"> work consists of an introduction, three chapters, conclusions; contains 78 pages of text, 4 figures, 5 tables. The list of sources used contains 59 names.</w:t>
      </w:r>
    </w:p>
    <w:p w14:paraId="46D7D808" w14:textId="77777777" w:rsidR="00F3462D" w:rsidRPr="00F3462D" w:rsidRDefault="00F3462D" w:rsidP="00737D58">
      <w:pPr>
        <w:spacing w:after="0" w:line="360" w:lineRule="auto"/>
        <w:ind w:firstLine="709"/>
        <w:jc w:val="both"/>
        <w:rPr>
          <w:rFonts w:ascii="Times New Roman" w:hAnsi="Times New Roman" w:cs="Times New Roman"/>
          <w:sz w:val="28"/>
          <w:szCs w:val="28"/>
        </w:rPr>
      </w:pPr>
      <w:r w:rsidRPr="00F3462D">
        <w:rPr>
          <w:rFonts w:ascii="Times New Roman" w:eastAsia="Times New Roman" w:hAnsi="Times New Roman" w:cs="Times New Roman"/>
          <w:sz w:val="28"/>
          <w:szCs w:val="28"/>
        </w:rPr>
        <w:t>The</w:t>
      </w:r>
      <w:r w:rsidRPr="00F3462D">
        <w:rPr>
          <w:rFonts w:ascii="Times New Roman" w:hAnsi="Times New Roman" w:cs="Times New Roman"/>
          <w:sz w:val="28"/>
          <w:szCs w:val="28"/>
        </w:rPr>
        <w:t xml:space="preserve"> thesis on the topic "Land inventory as a basis for land management" is devoted to the study of the role of land inventory in the formation of an effective land management system in the context of the transformation of land relations, decentralization of management and digitalization of cadastral processes.</w:t>
      </w:r>
    </w:p>
    <w:p w14:paraId="61877456" w14:textId="77777777" w:rsidR="00F3462D" w:rsidRPr="00F3462D" w:rsidRDefault="00F3462D" w:rsidP="00737D58">
      <w:pPr>
        <w:spacing w:after="0" w:line="360" w:lineRule="auto"/>
        <w:ind w:firstLine="709"/>
        <w:jc w:val="both"/>
        <w:rPr>
          <w:rFonts w:ascii="Times New Roman" w:hAnsi="Times New Roman" w:cs="Times New Roman"/>
          <w:sz w:val="28"/>
          <w:szCs w:val="28"/>
        </w:rPr>
      </w:pPr>
      <w:r w:rsidRPr="00F3462D">
        <w:rPr>
          <w:rFonts w:ascii="Times New Roman" w:eastAsia="Times New Roman" w:hAnsi="Times New Roman" w:cs="Times New Roman"/>
          <w:sz w:val="28"/>
          <w:szCs w:val="28"/>
        </w:rPr>
        <w:t>The</w:t>
      </w:r>
      <w:r w:rsidRPr="00F3462D">
        <w:rPr>
          <w:rFonts w:ascii="Times New Roman" w:hAnsi="Times New Roman" w:cs="Times New Roman"/>
          <w:sz w:val="28"/>
          <w:szCs w:val="28"/>
        </w:rPr>
        <w:t xml:space="preserve"> purpose of the work is to analyze the theoretical and legal foundations, procedural organization and practical significance of land inventory as a prerequisite for the rational use, protection and arrangement of territorial resources.</w:t>
      </w:r>
    </w:p>
    <w:p w14:paraId="2486E162" w14:textId="77777777" w:rsidR="00F3462D" w:rsidRPr="00F3462D" w:rsidRDefault="00F3462D" w:rsidP="00737D58">
      <w:pPr>
        <w:spacing w:after="0" w:line="360" w:lineRule="auto"/>
        <w:ind w:firstLine="709"/>
        <w:jc w:val="both"/>
        <w:rPr>
          <w:rFonts w:ascii="Times New Roman" w:hAnsi="Times New Roman" w:cs="Times New Roman"/>
          <w:sz w:val="28"/>
          <w:szCs w:val="28"/>
        </w:rPr>
      </w:pPr>
      <w:r w:rsidRPr="00F3462D">
        <w:rPr>
          <w:rFonts w:ascii="Times New Roman" w:eastAsia="Times New Roman" w:hAnsi="Times New Roman" w:cs="Times New Roman"/>
          <w:sz w:val="28"/>
          <w:szCs w:val="28"/>
        </w:rPr>
        <w:t>The</w:t>
      </w:r>
      <w:r w:rsidRPr="00F3462D">
        <w:rPr>
          <w:rFonts w:ascii="Times New Roman" w:hAnsi="Times New Roman" w:cs="Times New Roman"/>
          <w:sz w:val="28"/>
          <w:szCs w:val="28"/>
        </w:rPr>
        <w:t xml:space="preserve"> object of the study is land resources of Ukraine.</w:t>
      </w:r>
    </w:p>
    <w:p w14:paraId="658133C8" w14:textId="77777777" w:rsidR="00F3462D" w:rsidRPr="00F3462D" w:rsidRDefault="00F3462D" w:rsidP="00737D58">
      <w:pPr>
        <w:spacing w:after="0" w:line="360" w:lineRule="auto"/>
        <w:ind w:firstLine="709"/>
        <w:jc w:val="both"/>
        <w:rPr>
          <w:rFonts w:ascii="Times New Roman" w:hAnsi="Times New Roman" w:cs="Times New Roman"/>
          <w:sz w:val="28"/>
          <w:szCs w:val="28"/>
        </w:rPr>
      </w:pPr>
      <w:r w:rsidRPr="00F3462D">
        <w:rPr>
          <w:rFonts w:ascii="Times New Roman" w:eastAsia="Times New Roman" w:hAnsi="Times New Roman" w:cs="Times New Roman"/>
          <w:sz w:val="28"/>
          <w:szCs w:val="28"/>
        </w:rPr>
        <w:t>The</w:t>
      </w:r>
      <w:r w:rsidRPr="00F3462D">
        <w:rPr>
          <w:rFonts w:ascii="Times New Roman" w:hAnsi="Times New Roman" w:cs="Times New Roman"/>
          <w:sz w:val="28"/>
          <w:szCs w:val="28"/>
        </w:rPr>
        <w:t xml:space="preserve"> subject of the study is land inventory as a functional tool of land management.</w:t>
      </w:r>
    </w:p>
    <w:p w14:paraId="28AC6EED" w14:textId="77777777" w:rsidR="00F3462D" w:rsidRPr="00F3462D" w:rsidRDefault="00F3462D" w:rsidP="00737D58">
      <w:pPr>
        <w:spacing w:after="0" w:line="360" w:lineRule="auto"/>
        <w:ind w:firstLine="709"/>
        <w:jc w:val="both"/>
        <w:rPr>
          <w:rFonts w:ascii="Times New Roman" w:hAnsi="Times New Roman" w:cs="Times New Roman"/>
          <w:sz w:val="28"/>
          <w:szCs w:val="28"/>
        </w:rPr>
      </w:pPr>
      <w:r w:rsidRPr="00F3462D">
        <w:rPr>
          <w:rFonts w:ascii="Times New Roman" w:eastAsia="Times New Roman" w:hAnsi="Times New Roman" w:cs="Times New Roman"/>
          <w:sz w:val="28"/>
          <w:szCs w:val="28"/>
        </w:rPr>
        <w:t>In</w:t>
      </w:r>
      <w:r w:rsidRPr="00F3462D">
        <w:rPr>
          <w:rFonts w:ascii="Times New Roman" w:hAnsi="Times New Roman" w:cs="Times New Roman"/>
          <w:sz w:val="28"/>
          <w:szCs w:val="28"/>
        </w:rPr>
        <w:t xml:space="preserve"> the process of the study, the essence of inventory as a complex legal, technical and geoinformation procedure is characterized. The regulatory and legal framework regulating the conduct of land inventory in Ukraine is considered in detail. Its role in identifying the actual state of land use, fixing boundaries, verifying the legal status of plots, as well as in removing land from shadow circulation is determined.</w:t>
      </w:r>
    </w:p>
    <w:p w14:paraId="7A2849D1" w14:textId="77777777" w:rsidR="00F3462D" w:rsidRPr="00F3462D" w:rsidRDefault="00F3462D" w:rsidP="00737D58">
      <w:pPr>
        <w:spacing w:after="0" w:line="360" w:lineRule="auto"/>
        <w:ind w:firstLine="709"/>
        <w:jc w:val="both"/>
        <w:rPr>
          <w:rFonts w:ascii="Times New Roman" w:hAnsi="Times New Roman" w:cs="Times New Roman"/>
          <w:sz w:val="28"/>
          <w:szCs w:val="28"/>
        </w:rPr>
      </w:pPr>
      <w:r w:rsidRPr="00F3462D">
        <w:rPr>
          <w:rFonts w:ascii="Times New Roman" w:eastAsia="Times New Roman" w:hAnsi="Times New Roman" w:cs="Times New Roman"/>
          <w:sz w:val="28"/>
          <w:szCs w:val="28"/>
        </w:rPr>
        <w:t>The</w:t>
      </w:r>
      <w:r w:rsidRPr="00F3462D">
        <w:rPr>
          <w:rFonts w:ascii="Times New Roman" w:hAnsi="Times New Roman" w:cs="Times New Roman"/>
          <w:sz w:val="28"/>
          <w:szCs w:val="28"/>
        </w:rPr>
        <w:t xml:space="preserve"> practical part of the work is devoted to the analysis of the stages of organizing inventory work, the features of forming technical documentation, the use of GIS technologies and the integration of results into the state land cadastre.</w:t>
      </w:r>
    </w:p>
    <w:p w14:paraId="2C5A2811" w14:textId="7620448B" w:rsidR="007C5432" w:rsidRPr="00162CCB" w:rsidRDefault="00F3462D" w:rsidP="007C5432">
      <w:pPr>
        <w:spacing w:after="0" w:line="360" w:lineRule="auto"/>
        <w:ind w:firstLine="709"/>
        <w:jc w:val="both"/>
        <w:rPr>
          <w:rFonts w:ascii="Times New Roman" w:hAnsi="Times New Roman" w:cs="Times New Roman"/>
          <w:sz w:val="28"/>
          <w:szCs w:val="28"/>
          <w:lang w:val="en-US"/>
        </w:rPr>
        <w:sectPr w:rsidR="007C5432" w:rsidRPr="00162CCB">
          <w:headerReference w:type="default" r:id="rId9"/>
          <w:pgSz w:w="11906" w:h="16838"/>
          <w:pgMar w:top="850" w:right="850" w:bottom="850" w:left="1417" w:header="708" w:footer="708" w:gutter="0"/>
          <w:cols w:space="708"/>
          <w:docGrid w:linePitch="360"/>
        </w:sectPr>
      </w:pPr>
      <w:r w:rsidRPr="00F3462D">
        <w:rPr>
          <w:rFonts w:ascii="Times New Roman" w:eastAsia="Times New Roman" w:hAnsi="Times New Roman" w:cs="Times New Roman"/>
          <w:sz w:val="28"/>
          <w:szCs w:val="28"/>
        </w:rPr>
        <w:t>As</w:t>
      </w:r>
      <w:r w:rsidRPr="00F3462D">
        <w:rPr>
          <w:rFonts w:ascii="Times New Roman" w:hAnsi="Times New Roman" w:cs="Times New Roman"/>
          <w:sz w:val="28"/>
          <w:szCs w:val="28"/>
        </w:rPr>
        <w:t xml:space="preserve"> a result of the study, it was substantiated that land inventory is a key stage in the formation of spatial development strategies, determining territorial reserves, legalizing property rights and improving state land management tool</w:t>
      </w:r>
      <w:r w:rsidR="00162CCB">
        <w:rPr>
          <w:rFonts w:ascii="Times New Roman" w:hAnsi="Times New Roman" w:cs="Times New Roman"/>
          <w:sz w:val="28"/>
          <w:szCs w:val="28"/>
          <w:lang w:val="en-US"/>
        </w:rPr>
        <w:t>.</w:t>
      </w:r>
    </w:p>
    <w:bookmarkStart w:id="2" w:name="_Hlk201237071" w:displacedByCustomXml="next"/>
    <w:sdt>
      <w:sdtPr>
        <w:rPr>
          <w:rFonts w:ascii="Times New Roman" w:eastAsia="Times New Roman" w:hAnsi="Times New Roman" w:cs="Times New Roman"/>
          <w:bCs/>
          <w:color w:val="000000"/>
          <w:kern w:val="0"/>
          <w:sz w:val="28"/>
          <w:szCs w:val="28"/>
          <w:lang w:eastAsia="ru-RU"/>
          <w14:ligatures w14:val="none"/>
        </w:rPr>
        <w:id w:val="-874855934"/>
        <w:docPartObj>
          <w:docPartGallery w:val="Table of Contents"/>
          <w:docPartUnique/>
        </w:docPartObj>
      </w:sdtPr>
      <w:sdtEndPr/>
      <w:sdtContent>
        <w:p w14:paraId="3E17D12D" w14:textId="5780A863" w:rsidR="00B43D59" w:rsidRPr="00CD4D98" w:rsidRDefault="00111F16" w:rsidP="00CD4D98">
          <w:pPr>
            <w:spacing w:after="0" w:line="288" w:lineRule="auto"/>
            <w:jc w:val="center"/>
            <w:rPr>
              <w:rFonts w:ascii="Times New Roman" w:eastAsia="Times New Roman" w:hAnsi="Times New Roman" w:cs="Times New Roman"/>
              <w:bCs/>
              <w:color w:val="000000"/>
              <w:kern w:val="0"/>
              <w:sz w:val="28"/>
              <w:szCs w:val="28"/>
              <w:lang w:eastAsia="ru-RU"/>
              <w14:ligatures w14:val="none"/>
            </w:rPr>
          </w:pPr>
          <w:r w:rsidRPr="00CD4D98">
            <w:rPr>
              <w:rFonts w:ascii="Times New Roman" w:eastAsia="Times New Roman" w:hAnsi="Times New Roman" w:cs="Times New Roman"/>
              <w:bCs/>
              <w:color w:val="000000"/>
              <w:kern w:val="0"/>
              <w:sz w:val="28"/>
              <w:szCs w:val="28"/>
              <w:lang w:eastAsia="ru-RU"/>
              <w14:ligatures w14:val="none"/>
            </w:rPr>
            <w:t>ЗМІСТ</w:t>
          </w:r>
        </w:p>
        <w:p w14:paraId="5F15F5BB" w14:textId="77777777" w:rsidR="000579ED" w:rsidRPr="00CD4D98" w:rsidRDefault="000579ED" w:rsidP="00CD4D98">
          <w:pPr>
            <w:spacing w:after="0" w:line="288" w:lineRule="auto"/>
            <w:rPr>
              <w:rFonts w:ascii="Times New Roman" w:eastAsia="Times New Roman" w:hAnsi="Times New Roman" w:cs="Times New Roman"/>
              <w:bCs/>
              <w:color w:val="000000"/>
              <w:kern w:val="0"/>
              <w:sz w:val="28"/>
              <w:szCs w:val="28"/>
              <w:lang w:eastAsia="ru-RU"/>
              <w14:ligatures w14:val="none"/>
            </w:rPr>
          </w:pPr>
        </w:p>
        <w:p w14:paraId="32C08C75" w14:textId="76DD2CEF" w:rsidR="00B43D59" w:rsidRPr="00CD4D98" w:rsidRDefault="00B43D59" w:rsidP="00CD4D98">
          <w:pPr>
            <w:spacing w:after="0" w:line="288" w:lineRule="auto"/>
            <w:rPr>
              <w:rFonts w:ascii="Times New Roman" w:eastAsia="Times New Roman" w:hAnsi="Times New Roman" w:cs="Times New Roman"/>
              <w:bCs/>
              <w:color w:val="000000"/>
              <w:kern w:val="0"/>
              <w:sz w:val="28"/>
              <w:szCs w:val="28"/>
              <w:lang w:eastAsia="ru-RU"/>
              <w14:ligatures w14:val="none"/>
            </w:rPr>
          </w:pPr>
          <w:r w:rsidRPr="00CD4D98">
            <w:rPr>
              <w:rFonts w:ascii="Times New Roman" w:eastAsia="Times New Roman" w:hAnsi="Times New Roman" w:cs="Times New Roman"/>
              <w:bCs/>
              <w:color w:val="000000"/>
              <w:kern w:val="0"/>
              <w:sz w:val="28"/>
              <w:szCs w:val="28"/>
              <w:lang w:eastAsia="ru-RU"/>
              <w14:ligatures w14:val="none"/>
            </w:rPr>
            <w:t>Вступ</w:t>
          </w:r>
          <w:r w:rsidR="00CD4D98">
            <w:rPr>
              <w:rFonts w:ascii="Times New Roman" w:eastAsia="Times New Roman" w:hAnsi="Times New Roman" w:cs="Times New Roman"/>
              <w:bCs/>
              <w:color w:val="000000"/>
              <w:kern w:val="0"/>
              <w:sz w:val="28"/>
              <w:szCs w:val="28"/>
              <w:lang w:eastAsia="ru-RU"/>
              <w14:ligatures w14:val="none"/>
            </w:rPr>
            <w:t>………………………………………………………………………………</w:t>
          </w:r>
          <w:r w:rsidR="005E2EB1">
            <w:rPr>
              <w:rFonts w:ascii="Times New Roman" w:eastAsia="Times New Roman" w:hAnsi="Times New Roman" w:cs="Times New Roman"/>
              <w:bCs/>
              <w:color w:val="000000"/>
              <w:kern w:val="0"/>
              <w:sz w:val="28"/>
              <w:szCs w:val="28"/>
              <w:lang w:eastAsia="ru-RU"/>
              <w14:ligatures w14:val="none"/>
            </w:rPr>
            <w:t>...</w:t>
          </w:r>
          <w:r w:rsidR="00CD4D98">
            <w:rPr>
              <w:rFonts w:ascii="Times New Roman" w:eastAsia="Times New Roman" w:hAnsi="Times New Roman" w:cs="Times New Roman"/>
              <w:bCs/>
              <w:color w:val="000000"/>
              <w:kern w:val="0"/>
              <w:sz w:val="28"/>
              <w:szCs w:val="28"/>
              <w:lang w:eastAsia="ru-RU"/>
              <w14:ligatures w14:val="none"/>
            </w:rPr>
            <w:t>3</w:t>
          </w:r>
        </w:p>
        <w:p w14:paraId="1FD92791" w14:textId="149D42FE" w:rsidR="00B43D59" w:rsidRPr="00CD4D98" w:rsidRDefault="00B43D59" w:rsidP="00CD4D98">
          <w:pPr>
            <w:spacing w:after="0" w:line="288" w:lineRule="auto"/>
            <w:rPr>
              <w:rFonts w:ascii="Times New Roman" w:eastAsia="Times New Roman" w:hAnsi="Times New Roman" w:cs="Times New Roman"/>
              <w:bCs/>
              <w:color w:val="000000"/>
              <w:kern w:val="0"/>
              <w:sz w:val="28"/>
              <w:szCs w:val="28"/>
              <w:lang w:eastAsia="ru-RU"/>
              <w14:ligatures w14:val="none"/>
            </w:rPr>
          </w:pPr>
          <w:r w:rsidRPr="00CD4D98">
            <w:rPr>
              <w:rFonts w:ascii="Times New Roman" w:eastAsia="Times New Roman" w:hAnsi="Times New Roman" w:cs="Times New Roman"/>
              <w:bCs/>
              <w:color w:val="000000"/>
              <w:kern w:val="0"/>
              <w:sz w:val="28"/>
              <w:szCs w:val="28"/>
              <w:lang w:eastAsia="ru-RU"/>
              <w14:ligatures w14:val="none"/>
            </w:rPr>
            <w:t>Розділ 1 Теоретико-правові засади інвентаризації земель як елемента землеустрою</w:t>
          </w:r>
          <w:r w:rsidR="00CD4D98">
            <w:rPr>
              <w:rFonts w:ascii="Times New Roman" w:eastAsia="Times New Roman" w:hAnsi="Times New Roman" w:cs="Times New Roman"/>
              <w:bCs/>
              <w:color w:val="000000"/>
              <w:kern w:val="0"/>
              <w:sz w:val="28"/>
              <w:szCs w:val="28"/>
              <w:lang w:eastAsia="ru-RU"/>
              <w14:ligatures w14:val="none"/>
            </w:rPr>
            <w:t>………………………………………………………………………</w:t>
          </w:r>
          <w:r w:rsidR="005E2EB1">
            <w:rPr>
              <w:rFonts w:ascii="Times New Roman" w:eastAsia="Times New Roman" w:hAnsi="Times New Roman" w:cs="Times New Roman"/>
              <w:bCs/>
              <w:color w:val="000000"/>
              <w:kern w:val="0"/>
              <w:sz w:val="28"/>
              <w:szCs w:val="28"/>
              <w:lang w:eastAsia="ru-RU"/>
              <w14:ligatures w14:val="none"/>
            </w:rPr>
            <w:t>...</w:t>
          </w:r>
          <w:r w:rsidR="00513446" w:rsidRPr="00CD4D98">
            <w:rPr>
              <w:rFonts w:ascii="Times New Roman" w:eastAsia="Times New Roman" w:hAnsi="Times New Roman" w:cs="Times New Roman"/>
              <w:bCs/>
              <w:color w:val="000000"/>
              <w:kern w:val="0"/>
              <w:sz w:val="28"/>
              <w:szCs w:val="28"/>
              <w:lang w:eastAsia="ru-RU"/>
              <w14:ligatures w14:val="none"/>
            </w:rPr>
            <w:t>6</w:t>
          </w:r>
        </w:p>
        <w:p w14:paraId="68CFAEF4" w14:textId="46F72291" w:rsidR="00B43D59" w:rsidRPr="00CD4D98" w:rsidRDefault="00B43D59" w:rsidP="00CD4D98">
          <w:pPr>
            <w:spacing w:after="0" w:line="288" w:lineRule="auto"/>
            <w:rPr>
              <w:rFonts w:ascii="Times New Roman" w:eastAsia="Times New Roman" w:hAnsi="Times New Roman" w:cs="Times New Roman"/>
              <w:bCs/>
              <w:color w:val="000000"/>
              <w:kern w:val="0"/>
              <w:sz w:val="28"/>
              <w:szCs w:val="28"/>
              <w:lang w:eastAsia="ru-RU"/>
              <w14:ligatures w14:val="none"/>
            </w:rPr>
          </w:pPr>
          <w:r w:rsidRPr="00CD4D98">
            <w:rPr>
              <w:rFonts w:ascii="Times New Roman" w:eastAsia="Times New Roman" w:hAnsi="Times New Roman" w:cs="Times New Roman"/>
              <w:bCs/>
              <w:color w:val="000000"/>
              <w:kern w:val="0"/>
              <w:sz w:val="28"/>
              <w:szCs w:val="28"/>
              <w:lang w:eastAsia="ru-RU"/>
              <w14:ligatures w14:val="none"/>
            </w:rPr>
            <w:t>1.1. Поняття, мета та завдання інвентаризації земель у системі землевпорядкування</w:t>
          </w:r>
          <w:r w:rsidR="00CD4D98">
            <w:rPr>
              <w:rFonts w:ascii="Times New Roman" w:eastAsia="Times New Roman" w:hAnsi="Times New Roman" w:cs="Times New Roman"/>
              <w:bCs/>
              <w:color w:val="000000"/>
              <w:kern w:val="0"/>
              <w:sz w:val="28"/>
              <w:szCs w:val="28"/>
              <w:lang w:eastAsia="ru-RU"/>
              <w14:ligatures w14:val="none"/>
            </w:rPr>
            <w:t>………………………………………………………………..</w:t>
          </w:r>
          <w:r w:rsidR="00513446" w:rsidRPr="00CD4D98">
            <w:rPr>
              <w:rFonts w:ascii="Times New Roman" w:eastAsia="Times New Roman" w:hAnsi="Times New Roman" w:cs="Times New Roman"/>
              <w:bCs/>
              <w:color w:val="000000"/>
              <w:kern w:val="0"/>
              <w:sz w:val="28"/>
              <w:szCs w:val="28"/>
              <w:lang w:eastAsia="ru-RU"/>
              <w14:ligatures w14:val="none"/>
            </w:rPr>
            <w:t>6</w:t>
          </w:r>
        </w:p>
        <w:p w14:paraId="0277B936" w14:textId="39F843D8" w:rsidR="00B43D59" w:rsidRPr="00CD4D98" w:rsidRDefault="00B43D59" w:rsidP="00CD4D98">
          <w:pPr>
            <w:spacing w:after="0" w:line="288" w:lineRule="auto"/>
            <w:rPr>
              <w:rFonts w:ascii="Times New Roman" w:eastAsia="Times New Roman" w:hAnsi="Times New Roman" w:cs="Times New Roman"/>
              <w:bCs/>
              <w:color w:val="000000"/>
              <w:kern w:val="0"/>
              <w:sz w:val="28"/>
              <w:szCs w:val="28"/>
              <w:lang w:eastAsia="ru-RU"/>
              <w14:ligatures w14:val="none"/>
            </w:rPr>
          </w:pPr>
          <w:r w:rsidRPr="00CD4D98">
            <w:rPr>
              <w:rFonts w:ascii="Times New Roman" w:eastAsia="Times New Roman" w:hAnsi="Times New Roman" w:cs="Times New Roman"/>
              <w:bCs/>
              <w:color w:val="000000"/>
              <w:kern w:val="0"/>
              <w:sz w:val="28"/>
              <w:szCs w:val="28"/>
              <w:lang w:eastAsia="ru-RU"/>
              <w14:ligatures w14:val="none"/>
            </w:rPr>
            <w:t>1.2. Законодавче забезпечення інвентаризації земель в Україні</w:t>
          </w:r>
          <w:r w:rsidR="00CD4D98">
            <w:rPr>
              <w:rFonts w:ascii="Times New Roman" w:eastAsia="Times New Roman" w:hAnsi="Times New Roman" w:cs="Times New Roman"/>
              <w:bCs/>
              <w:color w:val="000000"/>
              <w:kern w:val="0"/>
              <w:sz w:val="28"/>
              <w:szCs w:val="28"/>
              <w:lang w:eastAsia="ru-RU"/>
              <w14:ligatures w14:val="none"/>
            </w:rPr>
            <w:t>……………….</w:t>
          </w:r>
          <w:r w:rsidRPr="00CD4D98">
            <w:rPr>
              <w:rFonts w:ascii="Times New Roman" w:eastAsia="Times New Roman" w:hAnsi="Times New Roman" w:cs="Times New Roman"/>
              <w:bCs/>
              <w:color w:val="000000"/>
              <w:kern w:val="0"/>
              <w:sz w:val="28"/>
              <w:szCs w:val="28"/>
              <w:lang w:eastAsia="ru-RU"/>
              <w14:ligatures w14:val="none"/>
            </w:rPr>
            <w:t>1</w:t>
          </w:r>
          <w:r w:rsidR="005D787E">
            <w:rPr>
              <w:rFonts w:ascii="Times New Roman" w:eastAsia="Times New Roman" w:hAnsi="Times New Roman" w:cs="Times New Roman"/>
              <w:bCs/>
              <w:color w:val="000000"/>
              <w:kern w:val="0"/>
              <w:sz w:val="28"/>
              <w:szCs w:val="28"/>
              <w:lang w:eastAsia="ru-RU"/>
              <w14:ligatures w14:val="none"/>
            </w:rPr>
            <w:t>2</w:t>
          </w:r>
        </w:p>
        <w:p w14:paraId="4608F5AE" w14:textId="789339E4" w:rsidR="00B43D59" w:rsidRPr="00CD4D98" w:rsidRDefault="00B43D59" w:rsidP="00CD4D98">
          <w:pPr>
            <w:spacing w:after="0" w:line="288" w:lineRule="auto"/>
            <w:rPr>
              <w:rFonts w:ascii="Times New Roman" w:eastAsia="Times New Roman" w:hAnsi="Times New Roman" w:cs="Times New Roman"/>
              <w:bCs/>
              <w:color w:val="000000"/>
              <w:kern w:val="0"/>
              <w:sz w:val="28"/>
              <w:szCs w:val="28"/>
              <w:lang w:eastAsia="ru-RU"/>
              <w14:ligatures w14:val="none"/>
            </w:rPr>
          </w:pPr>
          <w:r w:rsidRPr="00CD4D98">
            <w:rPr>
              <w:rFonts w:ascii="Times New Roman" w:eastAsia="Times New Roman" w:hAnsi="Times New Roman" w:cs="Times New Roman"/>
              <w:bCs/>
              <w:color w:val="000000"/>
              <w:kern w:val="0"/>
              <w:sz w:val="28"/>
              <w:szCs w:val="28"/>
              <w:lang w:eastAsia="ru-RU"/>
              <w14:ligatures w14:val="none"/>
            </w:rPr>
            <w:t>1.3. Роль інвентаризації у формуванні стратегії раціонального використання земельних ресурсів</w:t>
          </w:r>
          <w:r w:rsidR="00CD4D98">
            <w:rPr>
              <w:rFonts w:ascii="Times New Roman" w:eastAsia="Times New Roman" w:hAnsi="Times New Roman" w:cs="Times New Roman"/>
              <w:bCs/>
              <w:color w:val="000000"/>
              <w:kern w:val="0"/>
              <w:sz w:val="28"/>
              <w:szCs w:val="28"/>
              <w:lang w:eastAsia="ru-RU"/>
              <w14:ligatures w14:val="none"/>
            </w:rPr>
            <w:t>………………………………………………………………..</w:t>
          </w:r>
          <w:r w:rsidR="00513446" w:rsidRPr="00CD4D98">
            <w:rPr>
              <w:rFonts w:ascii="Times New Roman" w:eastAsia="Times New Roman" w:hAnsi="Times New Roman" w:cs="Times New Roman"/>
              <w:bCs/>
              <w:color w:val="000000"/>
              <w:kern w:val="0"/>
              <w:sz w:val="28"/>
              <w:szCs w:val="28"/>
              <w:lang w:eastAsia="ru-RU"/>
              <w14:ligatures w14:val="none"/>
            </w:rPr>
            <w:t>1</w:t>
          </w:r>
          <w:r w:rsidR="005D787E">
            <w:rPr>
              <w:rFonts w:ascii="Times New Roman" w:eastAsia="Times New Roman" w:hAnsi="Times New Roman" w:cs="Times New Roman"/>
              <w:bCs/>
              <w:color w:val="000000"/>
              <w:kern w:val="0"/>
              <w:sz w:val="28"/>
              <w:szCs w:val="28"/>
              <w:lang w:eastAsia="ru-RU"/>
              <w14:ligatures w14:val="none"/>
            </w:rPr>
            <w:t>8</w:t>
          </w:r>
        </w:p>
        <w:p w14:paraId="60C5DC5E" w14:textId="5B73D05D" w:rsidR="00B43D59" w:rsidRPr="00CD4D98" w:rsidRDefault="00B43D59" w:rsidP="00CD4D98">
          <w:pPr>
            <w:spacing w:after="0" w:line="288" w:lineRule="auto"/>
            <w:rPr>
              <w:rFonts w:ascii="Times New Roman" w:eastAsia="Times New Roman" w:hAnsi="Times New Roman" w:cs="Times New Roman"/>
              <w:bCs/>
              <w:color w:val="000000"/>
              <w:kern w:val="0"/>
              <w:sz w:val="28"/>
              <w:szCs w:val="28"/>
              <w:lang w:eastAsia="ru-RU"/>
              <w14:ligatures w14:val="none"/>
            </w:rPr>
          </w:pPr>
          <w:r w:rsidRPr="00CD4D98">
            <w:rPr>
              <w:rFonts w:ascii="Times New Roman" w:eastAsia="Times New Roman" w:hAnsi="Times New Roman" w:cs="Times New Roman"/>
              <w:bCs/>
              <w:color w:val="000000"/>
              <w:kern w:val="0"/>
              <w:sz w:val="28"/>
              <w:szCs w:val="28"/>
              <w:lang w:eastAsia="ru-RU"/>
              <w14:ligatures w14:val="none"/>
            </w:rPr>
            <w:t>Висновки до розділу 1</w:t>
          </w:r>
          <w:r w:rsidR="00CD4D98">
            <w:rPr>
              <w:rFonts w:ascii="Times New Roman" w:eastAsia="Times New Roman" w:hAnsi="Times New Roman" w:cs="Times New Roman"/>
              <w:bCs/>
              <w:color w:val="000000"/>
              <w:kern w:val="0"/>
              <w:sz w:val="28"/>
              <w:szCs w:val="28"/>
              <w:lang w:eastAsia="ru-RU"/>
              <w14:ligatures w14:val="none"/>
            </w:rPr>
            <w:t>…………………………………………………………….</w:t>
          </w:r>
          <w:r w:rsidRPr="00CD4D98">
            <w:rPr>
              <w:rFonts w:ascii="Times New Roman" w:eastAsia="Times New Roman" w:hAnsi="Times New Roman" w:cs="Times New Roman"/>
              <w:bCs/>
              <w:color w:val="000000"/>
              <w:kern w:val="0"/>
              <w:sz w:val="28"/>
              <w:szCs w:val="28"/>
              <w:lang w:eastAsia="ru-RU"/>
              <w14:ligatures w14:val="none"/>
            </w:rPr>
            <w:t>2</w:t>
          </w:r>
          <w:r w:rsidR="005D787E">
            <w:rPr>
              <w:rFonts w:ascii="Times New Roman" w:eastAsia="Times New Roman" w:hAnsi="Times New Roman" w:cs="Times New Roman"/>
              <w:bCs/>
              <w:color w:val="000000"/>
              <w:kern w:val="0"/>
              <w:sz w:val="28"/>
              <w:szCs w:val="28"/>
              <w:lang w:eastAsia="ru-RU"/>
              <w14:ligatures w14:val="none"/>
            </w:rPr>
            <w:t>6</w:t>
          </w:r>
        </w:p>
        <w:p w14:paraId="21A3EFEC" w14:textId="6EF4611C" w:rsidR="00B43D59" w:rsidRPr="00CD4D98" w:rsidRDefault="00B43D59" w:rsidP="00CD4D98">
          <w:pPr>
            <w:spacing w:after="0" w:line="288" w:lineRule="auto"/>
            <w:rPr>
              <w:rFonts w:ascii="Times New Roman" w:eastAsia="Times New Roman" w:hAnsi="Times New Roman" w:cs="Times New Roman"/>
              <w:bCs/>
              <w:color w:val="000000"/>
              <w:kern w:val="0"/>
              <w:sz w:val="28"/>
              <w:szCs w:val="28"/>
              <w:lang w:eastAsia="ru-RU"/>
              <w14:ligatures w14:val="none"/>
            </w:rPr>
          </w:pPr>
          <w:r w:rsidRPr="00CD4D98">
            <w:rPr>
              <w:rFonts w:ascii="Times New Roman" w:eastAsia="Times New Roman" w:hAnsi="Times New Roman" w:cs="Times New Roman"/>
              <w:bCs/>
              <w:color w:val="000000"/>
              <w:kern w:val="0"/>
              <w:sz w:val="28"/>
              <w:szCs w:val="28"/>
              <w:lang w:eastAsia="ru-RU"/>
              <w14:ligatures w14:val="none"/>
            </w:rPr>
            <w:t>Розділ 2 Організація та проведення інвентаризації земель як передумова землеустрою</w:t>
          </w:r>
          <w:r w:rsidR="00CD4D98">
            <w:rPr>
              <w:rFonts w:ascii="Times New Roman" w:eastAsia="Times New Roman" w:hAnsi="Times New Roman" w:cs="Times New Roman"/>
              <w:bCs/>
              <w:color w:val="000000"/>
              <w:kern w:val="0"/>
              <w:sz w:val="28"/>
              <w:szCs w:val="28"/>
              <w:lang w:eastAsia="ru-RU"/>
              <w14:ligatures w14:val="none"/>
            </w:rPr>
            <w:t>……………………………………………………………………….</w:t>
          </w:r>
          <w:r w:rsidR="00513446" w:rsidRPr="00CD4D98">
            <w:rPr>
              <w:rFonts w:ascii="Times New Roman" w:eastAsia="Times New Roman" w:hAnsi="Times New Roman" w:cs="Times New Roman"/>
              <w:bCs/>
              <w:color w:val="000000"/>
              <w:kern w:val="0"/>
              <w:sz w:val="28"/>
              <w:szCs w:val="28"/>
              <w:lang w:eastAsia="ru-RU"/>
              <w14:ligatures w14:val="none"/>
            </w:rPr>
            <w:t>2</w:t>
          </w:r>
          <w:r w:rsidR="005D787E">
            <w:rPr>
              <w:rFonts w:ascii="Times New Roman" w:eastAsia="Times New Roman" w:hAnsi="Times New Roman" w:cs="Times New Roman"/>
              <w:bCs/>
              <w:color w:val="000000"/>
              <w:kern w:val="0"/>
              <w:sz w:val="28"/>
              <w:szCs w:val="28"/>
              <w:lang w:eastAsia="ru-RU"/>
              <w14:ligatures w14:val="none"/>
            </w:rPr>
            <w:t>7</w:t>
          </w:r>
        </w:p>
        <w:p w14:paraId="2937E82F" w14:textId="645DBD8D" w:rsidR="00B43D59" w:rsidRPr="00CD4D98" w:rsidRDefault="00B43D59" w:rsidP="00CD4D98">
          <w:pPr>
            <w:spacing w:after="0" w:line="288" w:lineRule="auto"/>
            <w:rPr>
              <w:rFonts w:ascii="Times New Roman" w:eastAsia="Times New Roman" w:hAnsi="Times New Roman" w:cs="Times New Roman"/>
              <w:bCs/>
              <w:color w:val="000000"/>
              <w:kern w:val="0"/>
              <w:sz w:val="28"/>
              <w:szCs w:val="28"/>
              <w:lang w:eastAsia="ru-RU"/>
              <w14:ligatures w14:val="none"/>
            </w:rPr>
          </w:pPr>
          <w:r w:rsidRPr="00CD4D98">
            <w:rPr>
              <w:rFonts w:ascii="Times New Roman" w:eastAsia="Times New Roman" w:hAnsi="Times New Roman" w:cs="Times New Roman"/>
              <w:bCs/>
              <w:color w:val="000000"/>
              <w:kern w:val="0"/>
              <w:sz w:val="28"/>
              <w:szCs w:val="28"/>
              <w:lang w:eastAsia="ru-RU"/>
              <w14:ligatures w14:val="none"/>
            </w:rPr>
            <w:t>2.1. Етапи проведення інвентаризації земель: підготовка, виконання, документування</w:t>
          </w:r>
          <w:r w:rsidR="00CD4D98">
            <w:rPr>
              <w:rFonts w:ascii="Times New Roman" w:eastAsia="Times New Roman" w:hAnsi="Times New Roman" w:cs="Times New Roman"/>
              <w:bCs/>
              <w:color w:val="000000"/>
              <w:kern w:val="0"/>
              <w:sz w:val="28"/>
              <w:szCs w:val="28"/>
              <w:lang w:eastAsia="ru-RU"/>
              <w14:ligatures w14:val="none"/>
            </w:rPr>
            <w:t>……………………………………………………………………</w:t>
          </w:r>
          <w:r w:rsidR="00513446" w:rsidRPr="00CD4D98">
            <w:rPr>
              <w:rFonts w:ascii="Times New Roman" w:eastAsia="Times New Roman" w:hAnsi="Times New Roman" w:cs="Times New Roman"/>
              <w:bCs/>
              <w:color w:val="000000"/>
              <w:kern w:val="0"/>
              <w:sz w:val="28"/>
              <w:szCs w:val="28"/>
              <w:lang w:eastAsia="ru-RU"/>
              <w14:ligatures w14:val="none"/>
            </w:rPr>
            <w:t>2</w:t>
          </w:r>
          <w:r w:rsidR="005D787E">
            <w:rPr>
              <w:rFonts w:ascii="Times New Roman" w:eastAsia="Times New Roman" w:hAnsi="Times New Roman" w:cs="Times New Roman"/>
              <w:bCs/>
              <w:color w:val="000000"/>
              <w:kern w:val="0"/>
              <w:sz w:val="28"/>
              <w:szCs w:val="28"/>
              <w:lang w:eastAsia="ru-RU"/>
              <w14:ligatures w14:val="none"/>
            </w:rPr>
            <w:t>7</w:t>
          </w:r>
        </w:p>
        <w:p w14:paraId="60D3166F" w14:textId="09B449FE" w:rsidR="00B43D59" w:rsidRPr="00CD4D98" w:rsidRDefault="00B43D59" w:rsidP="00CD4D98">
          <w:pPr>
            <w:spacing w:after="0" w:line="288" w:lineRule="auto"/>
            <w:rPr>
              <w:rFonts w:ascii="Times New Roman" w:eastAsia="Times New Roman" w:hAnsi="Times New Roman" w:cs="Times New Roman"/>
              <w:bCs/>
              <w:color w:val="000000"/>
              <w:kern w:val="0"/>
              <w:sz w:val="28"/>
              <w:szCs w:val="28"/>
              <w:lang w:eastAsia="ru-RU"/>
              <w14:ligatures w14:val="none"/>
            </w:rPr>
          </w:pPr>
          <w:r w:rsidRPr="00CD4D98">
            <w:rPr>
              <w:rFonts w:ascii="Times New Roman" w:eastAsia="Times New Roman" w:hAnsi="Times New Roman" w:cs="Times New Roman"/>
              <w:bCs/>
              <w:color w:val="000000"/>
              <w:kern w:val="0"/>
              <w:sz w:val="28"/>
              <w:szCs w:val="28"/>
              <w:lang w:eastAsia="ru-RU"/>
              <w14:ligatures w14:val="none"/>
            </w:rPr>
            <w:t>2.2. Особливості інвентаризації земель сільськогосподарського призначення державної та комунальної власності</w:t>
          </w:r>
          <w:r w:rsidR="005E2EB1">
            <w:rPr>
              <w:rFonts w:ascii="Times New Roman" w:eastAsia="Times New Roman" w:hAnsi="Times New Roman" w:cs="Times New Roman"/>
              <w:bCs/>
              <w:color w:val="000000"/>
              <w:kern w:val="0"/>
              <w:sz w:val="28"/>
              <w:szCs w:val="28"/>
              <w:lang w:eastAsia="ru-RU"/>
              <w14:ligatures w14:val="none"/>
            </w:rPr>
            <w:t>……………………………………………..</w:t>
          </w:r>
          <w:r w:rsidRPr="00CD4D98">
            <w:rPr>
              <w:rFonts w:ascii="Times New Roman" w:eastAsia="Times New Roman" w:hAnsi="Times New Roman" w:cs="Times New Roman"/>
              <w:bCs/>
              <w:color w:val="000000"/>
              <w:kern w:val="0"/>
              <w:sz w:val="28"/>
              <w:szCs w:val="28"/>
              <w:lang w:eastAsia="ru-RU"/>
              <w14:ligatures w14:val="none"/>
            </w:rPr>
            <w:t>3</w:t>
          </w:r>
          <w:r w:rsidR="005D787E">
            <w:rPr>
              <w:rFonts w:ascii="Times New Roman" w:eastAsia="Times New Roman" w:hAnsi="Times New Roman" w:cs="Times New Roman"/>
              <w:bCs/>
              <w:color w:val="000000"/>
              <w:kern w:val="0"/>
              <w:sz w:val="28"/>
              <w:szCs w:val="28"/>
              <w:lang w:eastAsia="ru-RU"/>
              <w14:ligatures w14:val="none"/>
            </w:rPr>
            <w:t>4</w:t>
          </w:r>
        </w:p>
        <w:p w14:paraId="1D10857B" w14:textId="35F5F44D" w:rsidR="00B43D59" w:rsidRPr="00CD4D98" w:rsidRDefault="00B43D59" w:rsidP="00CD4D98">
          <w:pPr>
            <w:spacing w:after="0" w:line="288" w:lineRule="auto"/>
            <w:rPr>
              <w:rFonts w:ascii="Times New Roman" w:eastAsia="Times New Roman" w:hAnsi="Times New Roman" w:cs="Times New Roman"/>
              <w:bCs/>
              <w:color w:val="000000"/>
              <w:kern w:val="0"/>
              <w:sz w:val="28"/>
              <w:szCs w:val="28"/>
              <w:lang w:eastAsia="ru-RU"/>
              <w14:ligatures w14:val="none"/>
            </w:rPr>
          </w:pPr>
          <w:r w:rsidRPr="00CD4D98">
            <w:rPr>
              <w:rFonts w:ascii="Times New Roman" w:eastAsia="Times New Roman" w:hAnsi="Times New Roman" w:cs="Times New Roman"/>
              <w:bCs/>
              <w:color w:val="000000"/>
              <w:kern w:val="0"/>
              <w:sz w:val="28"/>
              <w:szCs w:val="28"/>
              <w:lang w:eastAsia="ru-RU"/>
              <w14:ligatures w14:val="none"/>
            </w:rPr>
            <w:t>2.3. Виявлення невикористаних, неоформлених та неефективно використаних земельних ділянок за результатами інвентаризації</w:t>
          </w:r>
          <w:r w:rsidR="005E2EB1">
            <w:rPr>
              <w:rFonts w:ascii="Times New Roman" w:eastAsia="Times New Roman" w:hAnsi="Times New Roman" w:cs="Times New Roman"/>
              <w:bCs/>
              <w:color w:val="000000"/>
              <w:kern w:val="0"/>
              <w:sz w:val="28"/>
              <w:szCs w:val="28"/>
              <w:lang w:eastAsia="ru-RU"/>
              <w14:ligatures w14:val="none"/>
            </w:rPr>
            <w:t>……………………………..</w:t>
          </w:r>
          <w:r w:rsidRPr="00CD4D98">
            <w:rPr>
              <w:rFonts w:ascii="Times New Roman" w:eastAsia="Times New Roman" w:hAnsi="Times New Roman" w:cs="Times New Roman"/>
              <w:bCs/>
              <w:color w:val="000000"/>
              <w:kern w:val="0"/>
              <w:sz w:val="28"/>
              <w:szCs w:val="28"/>
              <w:lang w:eastAsia="ru-RU"/>
              <w14:ligatures w14:val="none"/>
            </w:rPr>
            <w:t>4</w:t>
          </w:r>
          <w:r w:rsidR="005D787E">
            <w:rPr>
              <w:rFonts w:ascii="Times New Roman" w:eastAsia="Times New Roman" w:hAnsi="Times New Roman" w:cs="Times New Roman"/>
              <w:bCs/>
              <w:color w:val="000000"/>
              <w:kern w:val="0"/>
              <w:sz w:val="28"/>
              <w:szCs w:val="28"/>
              <w:lang w:eastAsia="ru-RU"/>
              <w14:ligatures w14:val="none"/>
            </w:rPr>
            <w:t>2</w:t>
          </w:r>
        </w:p>
        <w:p w14:paraId="1DDD7B67" w14:textId="0F8A98CB" w:rsidR="00B43D59" w:rsidRPr="00CD4D98" w:rsidRDefault="00B43D59" w:rsidP="00CD4D98">
          <w:pPr>
            <w:spacing w:after="0" w:line="288" w:lineRule="auto"/>
            <w:rPr>
              <w:rFonts w:ascii="Times New Roman" w:eastAsia="Times New Roman" w:hAnsi="Times New Roman" w:cs="Times New Roman"/>
              <w:bCs/>
              <w:color w:val="000000"/>
              <w:kern w:val="0"/>
              <w:sz w:val="28"/>
              <w:szCs w:val="28"/>
              <w:lang w:eastAsia="ru-RU"/>
              <w14:ligatures w14:val="none"/>
            </w:rPr>
          </w:pPr>
          <w:r w:rsidRPr="00CD4D98">
            <w:rPr>
              <w:rFonts w:ascii="Times New Roman" w:eastAsia="Times New Roman" w:hAnsi="Times New Roman" w:cs="Times New Roman"/>
              <w:bCs/>
              <w:color w:val="000000"/>
              <w:kern w:val="0"/>
              <w:sz w:val="28"/>
              <w:szCs w:val="28"/>
              <w:lang w:eastAsia="ru-RU"/>
              <w14:ligatures w14:val="none"/>
            </w:rPr>
            <w:t>2.4. Взаємодія між органами місцевого самоврядування та землевпорядними організаціями під час проведення інвентаризації</w:t>
          </w:r>
          <w:r w:rsidR="005E2EB1">
            <w:rPr>
              <w:rFonts w:ascii="Times New Roman" w:eastAsia="Times New Roman" w:hAnsi="Times New Roman" w:cs="Times New Roman"/>
              <w:bCs/>
              <w:color w:val="000000"/>
              <w:kern w:val="0"/>
              <w:sz w:val="28"/>
              <w:szCs w:val="28"/>
              <w:lang w:eastAsia="ru-RU"/>
              <w14:ligatures w14:val="none"/>
            </w:rPr>
            <w:t>……………………………….</w:t>
          </w:r>
          <w:r w:rsidR="00513446" w:rsidRPr="00CD4D98">
            <w:rPr>
              <w:rFonts w:ascii="Times New Roman" w:eastAsia="Times New Roman" w:hAnsi="Times New Roman" w:cs="Times New Roman"/>
              <w:bCs/>
              <w:color w:val="000000"/>
              <w:kern w:val="0"/>
              <w:sz w:val="28"/>
              <w:szCs w:val="28"/>
              <w:lang w:eastAsia="ru-RU"/>
              <w14:ligatures w14:val="none"/>
            </w:rPr>
            <w:t>4</w:t>
          </w:r>
          <w:r w:rsidR="005D787E">
            <w:rPr>
              <w:rFonts w:ascii="Times New Roman" w:eastAsia="Times New Roman" w:hAnsi="Times New Roman" w:cs="Times New Roman"/>
              <w:bCs/>
              <w:color w:val="000000"/>
              <w:kern w:val="0"/>
              <w:sz w:val="28"/>
              <w:szCs w:val="28"/>
              <w:lang w:eastAsia="ru-RU"/>
              <w14:ligatures w14:val="none"/>
            </w:rPr>
            <w:t>8</w:t>
          </w:r>
        </w:p>
        <w:p w14:paraId="54D3EF57" w14:textId="4CE1C8B5" w:rsidR="00B43D59" w:rsidRPr="00CD4D98" w:rsidRDefault="00B43D59" w:rsidP="00CD4D98">
          <w:pPr>
            <w:spacing w:after="0" w:line="288" w:lineRule="auto"/>
            <w:rPr>
              <w:rFonts w:ascii="Times New Roman" w:eastAsia="Times New Roman" w:hAnsi="Times New Roman" w:cs="Times New Roman"/>
              <w:bCs/>
              <w:color w:val="000000"/>
              <w:kern w:val="0"/>
              <w:sz w:val="28"/>
              <w:szCs w:val="28"/>
              <w:lang w:eastAsia="ru-RU"/>
              <w14:ligatures w14:val="none"/>
            </w:rPr>
          </w:pPr>
          <w:r w:rsidRPr="00CD4D98">
            <w:rPr>
              <w:rFonts w:ascii="Times New Roman" w:eastAsia="Times New Roman" w:hAnsi="Times New Roman" w:cs="Times New Roman"/>
              <w:bCs/>
              <w:color w:val="000000"/>
              <w:kern w:val="0"/>
              <w:sz w:val="28"/>
              <w:szCs w:val="28"/>
              <w:lang w:eastAsia="ru-RU"/>
              <w14:ligatures w14:val="none"/>
            </w:rPr>
            <w:t>Висновки до розділу 2</w:t>
          </w:r>
          <w:r w:rsidR="005E2EB1">
            <w:rPr>
              <w:rFonts w:ascii="Times New Roman" w:eastAsia="Times New Roman" w:hAnsi="Times New Roman" w:cs="Times New Roman"/>
              <w:bCs/>
              <w:color w:val="000000"/>
              <w:kern w:val="0"/>
              <w:sz w:val="28"/>
              <w:szCs w:val="28"/>
              <w:lang w:eastAsia="ru-RU"/>
              <w14:ligatures w14:val="none"/>
            </w:rPr>
            <w:t>…………………………………………………………….</w:t>
          </w:r>
          <w:r w:rsidR="00513446" w:rsidRPr="00CD4D98">
            <w:rPr>
              <w:rFonts w:ascii="Times New Roman" w:eastAsia="Times New Roman" w:hAnsi="Times New Roman" w:cs="Times New Roman"/>
              <w:bCs/>
              <w:color w:val="000000"/>
              <w:kern w:val="0"/>
              <w:sz w:val="28"/>
              <w:szCs w:val="28"/>
              <w:lang w:eastAsia="ru-RU"/>
              <w14:ligatures w14:val="none"/>
            </w:rPr>
            <w:t>5</w:t>
          </w:r>
          <w:r w:rsidR="005D787E">
            <w:rPr>
              <w:rFonts w:ascii="Times New Roman" w:eastAsia="Times New Roman" w:hAnsi="Times New Roman" w:cs="Times New Roman"/>
              <w:bCs/>
              <w:color w:val="000000"/>
              <w:kern w:val="0"/>
              <w:sz w:val="28"/>
              <w:szCs w:val="28"/>
              <w:lang w:eastAsia="ru-RU"/>
              <w14:ligatures w14:val="none"/>
            </w:rPr>
            <w:t>4</w:t>
          </w:r>
        </w:p>
        <w:p w14:paraId="61CB4C6F" w14:textId="77777777" w:rsidR="00947918" w:rsidRPr="00CD4D98" w:rsidRDefault="00B43D59" w:rsidP="00CD4D98">
          <w:pPr>
            <w:spacing w:after="0" w:line="288" w:lineRule="auto"/>
            <w:rPr>
              <w:rFonts w:ascii="Times New Roman" w:eastAsia="Times New Roman" w:hAnsi="Times New Roman" w:cs="Times New Roman"/>
              <w:bCs/>
              <w:color w:val="000000"/>
              <w:kern w:val="0"/>
              <w:sz w:val="28"/>
              <w:szCs w:val="28"/>
              <w:lang w:eastAsia="ru-RU"/>
              <w14:ligatures w14:val="none"/>
            </w:rPr>
          </w:pPr>
          <w:r w:rsidRPr="00CD4D98">
            <w:rPr>
              <w:rFonts w:ascii="Times New Roman" w:eastAsia="Times New Roman" w:hAnsi="Times New Roman" w:cs="Times New Roman"/>
              <w:bCs/>
              <w:color w:val="000000"/>
              <w:kern w:val="0"/>
              <w:sz w:val="28"/>
              <w:szCs w:val="28"/>
              <w:lang w:eastAsia="ru-RU"/>
              <w14:ligatures w14:val="none"/>
            </w:rPr>
            <w:t xml:space="preserve">Розділ 3 Землевпорядне значення інвентаризації земель у сучасних </w:t>
          </w:r>
        </w:p>
        <w:p w14:paraId="6191BD09" w14:textId="2FC07C8B" w:rsidR="00B43D59" w:rsidRPr="00CD4D98" w:rsidRDefault="005E2EB1" w:rsidP="00CD4D98">
          <w:pPr>
            <w:spacing w:after="0" w:line="288" w:lineRule="auto"/>
            <w:rPr>
              <w:rFonts w:ascii="Times New Roman" w:eastAsia="Times New Roman" w:hAnsi="Times New Roman" w:cs="Times New Roman"/>
              <w:bCs/>
              <w:color w:val="000000"/>
              <w:kern w:val="0"/>
              <w:sz w:val="28"/>
              <w:szCs w:val="28"/>
              <w:lang w:eastAsia="ru-RU"/>
              <w14:ligatures w14:val="none"/>
            </w:rPr>
          </w:pPr>
          <w:r>
            <w:rPr>
              <w:rFonts w:ascii="Times New Roman" w:eastAsia="Times New Roman" w:hAnsi="Times New Roman" w:cs="Times New Roman"/>
              <w:bCs/>
              <w:color w:val="000000"/>
              <w:kern w:val="0"/>
              <w:sz w:val="28"/>
              <w:szCs w:val="28"/>
              <w:lang w:eastAsia="ru-RU"/>
              <w14:ligatures w14:val="none"/>
            </w:rPr>
            <w:t>у</w:t>
          </w:r>
          <w:r w:rsidR="00B43D59" w:rsidRPr="00CD4D98">
            <w:rPr>
              <w:rFonts w:ascii="Times New Roman" w:eastAsia="Times New Roman" w:hAnsi="Times New Roman" w:cs="Times New Roman"/>
              <w:bCs/>
              <w:color w:val="000000"/>
              <w:kern w:val="0"/>
              <w:sz w:val="28"/>
              <w:szCs w:val="28"/>
              <w:lang w:eastAsia="ru-RU"/>
              <w14:ligatures w14:val="none"/>
            </w:rPr>
            <w:t>мовах</w:t>
          </w:r>
          <w:r>
            <w:rPr>
              <w:rFonts w:ascii="Times New Roman" w:eastAsia="Times New Roman" w:hAnsi="Times New Roman" w:cs="Times New Roman"/>
              <w:bCs/>
              <w:color w:val="000000"/>
              <w:kern w:val="0"/>
              <w:sz w:val="28"/>
              <w:szCs w:val="28"/>
              <w:lang w:eastAsia="ru-RU"/>
              <w14:ligatures w14:val="none"/>
            </w:rPr>
            <w:t>……………………………………………………………………………...</w:t>
          </w:r>
          <w:r w:rsidR="00B43D59" w:rsidRPr="00CD4D98">
            <w:rPr>
              <w:rFonts w:ascii="Times New Roman" w:eastAsia="Times New Roman" w:hAnsi="Times New Roman" w:cs="Times New Roman"/>
              <w:bCs/>
              <w:color w:val="000000"/>
              <w:kern w:val="0"/>
              <w:sz w:val="28"/>
              <w:szCs w:val="28"/>
              <w:lang w:eastAsia="ru-RU"/>
              <w14:ligatures w14:val="none"/>
            </w:rPr>
            <w:t>5</w:t>
          </w:r>
          <w:r w:rsidR="005D787E">
            <w:rPr>
              <w:rFonts w:ascii="Times New Roman" w:eastAsia="Times New Roman" w:hAnsi="Times New Roman" w:cs="Times New Roman"/>
              <w:bCs/>
              <w:color w:val="000000"/>
              <w:kern w:val="0"/>
              <w:sz w:val="28"/>
              <w:szCs w:val="28"/>
              <w:lang w:eastAsia="ru-RU"/>
              <w14:ligatures w14:val="none"/>
            </w:rPr>
            <w:t>6</w:t>
          </w:r>
        </w:p>
        <w:p w14:paraId="2F0DF9B5" w14:textId="13758B50" w:rsidR="00B43D59" w:rsidRPr="00CD4D98" w:rsidRDefault="00B43D59" w:rsidP="00CD4D98">
          <w:pPr>
            <w:spacing w:after="0" w:line="288" w:lineRule="auto"/>
            <w:rPr>
              <w:rFonts w:ascii="Times New Roman" w:eastAsia="Times New Roman" w:hAnsi="Times New Roman" w:cs="Times New Roman"/>
              <w:bCs/>
              <w:color w:val="000000"/>
              <w:kern w:val="0"/>
              <w:sz w:val="28"/>
              <w:szCs w:val="28"/>
              <w:lang w:eastAsia="ru-RU"/>
              <w14:ligatures w14:val="none"/>
            </w:rPr>
          </w:pPr>
          <w:r w:rsidRPr="00CD4D98">
            <w:rPr>
              <w:rFonts w:ascii="Times New Roman" w:eastAsia="Times New Roman" w:hAnsi="Times New Roman" w:cs="Times New Roman"/>
              <w:bCs/>
              <w:color w:val="000000"/>
              <w:kern w:val="0"/>
              <w:sz w:val="28"/>
              <w:szCs w:val="28"/>
              <w:lang w:eastAsia="ru-RU"/>
              <w14:ligatures w14:val="none"/>
            </w:rPr>
            <w:t>3.1. Використання результатів інвентаризації при плануванні землекористування</w:t>
          </w:r>
          <w:r w:rsidR="005E2EB1">
            <w:rPr>
              <w:rFonts w:ascii="Times New Roman" w:eastAsia="Times New Roman" w:hAnsi="Times New Roman" w:cs="Times New Roman"/>
              <w:bCs/>
              <w:color w:val="000000"/>
              <w:kern w:val="0"/>
              <w:sz w:val="28"/>
              <w:szCs w:val="28"/>
              <w:lang w:eastAsia="ru-RU"/>
              <w14:ligatures w14:val="none"/>
            </w:rPr>
            <w:t>………………………………………………………………..</w:t>
          </w:r>
          <w:r w:rsidRPr="00CD4D98">
            <w:rPr>
              <w:rFonts w:ascii="Times New Roman" w:eastAsia="Times New Roman" w:hAnsi="Times New Roman" w:cs="Times New Roman"/>
              <w:bCs/>
              <w:color w:val="000000"/>
              <w:kern w:val="0"/>
              <w:sz w:val="28"/>
              <w:szCs w:val="28"/>
              <w:lang w:eastAsia="ru-RU"/>
              <w14:ligatures w14:val="none"/>
            </w:rPr>
            <w:t>5</w:t>
          </w:r>
          <w:r w:rsidR="005D787E">
            <w:rPr>
              <w:rFonts w:ascii="Times New Roman" w:eastAsia="Times New Roman" w:hAnsi="Times New Roman" w:cs="Times New Roman"/>
              <w:bCs/>
              <w:color w:val="000000"/>
              <w:kern w:val="0"/>
              <w:sz w:val="28"/>
              <w:szCs w:val="28"/>
              <w:lang w:eastAsia="ru-RU"/>
              <w14:ligatures w14:val="none"/>
            </w:rPr>
            <w:t>6</w:t>
          </w:r>
        </w:p>
        <w:p w14:paraId="46315CC3" w14:textId="64D16862" w:rsidR="00B43D59" w:rsidRPr="00CD4D98" w:rsidRDefault="00B43D59" w:rsidP="00CD4D98">
          <w:pPr>
            <w:spacing w:after="0" w:line="288" w:lineRule="auto"/>
            <w:rPr>
              <w:rFonts w:ascii="Times New Roman" w:eastAsia="Times New Roman" w:hAnsi="Times New Roman" w:cs="Times New Roman"/>
              <w:bCs/>
              <w:color w:val="000000"/>
              <w:kern w:val="0"/>
              <w:sz w:val="28"/>
              <w:szCs w:val="28"/>
              <w:lang w:eastAsia="ru-RU"/>
              <w14:ligatures w14:val="none"/>
            </w:rPr>
          </w:pPr>
          <w:r w:rsidRPr="00CD4D98">
            <w:rPr>
              <w:rFonts w:ascii="Times New Roman" w:eastAsia="Times New Roman" w:hAnsi="Times New Roman" w:cs="Times New Roman"/>
              <w:bCs/>
              <w:color w:val="000000"/>
              <w:kern w:val="0"/>
              <w:sz w:val="28"/>
              <w:szCs w:val="28"/>
              <w:lang w:eastAsia="ru-RU"/>
              <w14:ligatures w14:val="none"/>
            </w:rPr>
            <w:t>3.2. Формування кадастрової інформації та забезпечення її актуальності на основі інвентаризаційних даних</w:t>
          </w:r>
          <w:r w:rsidR="005E2EB1">
            <w:rPr>
              <w:rFonts w:ascii="Times New Roman" w:eastAsia="Times New Roman" w:hAnsi="Times New Roman" w:cs="Times New Roman"/>
              <w:bCs/>
              <w:color w:val="000000"/>
              <w:kern w:val="0"/>
              <w:sz w:val="28"/>
              <w:szCs w:val="28"/>
              <w:lang w:eastAsia="ru-RU"/>
              <w14:ligatures w14:val="none"/>
            </w:rPr>
            <w:t>…………………………………………………</w:t>
          </w:r>
          <w:r w:rsidRPr="00CD4D98">
            <w:rPr>
              <w:rFonts w:ascii="Times New Roman" w:eastAsia="Times New Roman" w:hAnsi="Times New Roman" w:cs="Times New Roman"/>
              <w:bCs/>
              <w:color w:val="000000"/>
              <w:kern w:val="0"/>
              <w:sz w:val="28"/>
              <w:szCs w:val="28"/>
              <w:lang w:eastAsia="ru-RU"/>
              <w14:ligatures w14:val="none"/>
            </w:rPr>
            <w:t>6</w:t>
          </w:r>
          <w:r w:rsidR="005D787E">
            <w:rPr>
              <w:rFonts w:ascii="Times New Roman" w:eastAsia="Times New Roman" w:hAnsi="Times New Roman" w:cs="Times New Roman"/>
              <w:bCs/>
              <w:color w:val="000000"/>
              <w:kern w:val="0"/>
              <w:sz w:val="28"/>
              <w:szCs w:val="28"/>
              <w:lang w:eastAsia="ru-RU"/>
              <w14:ligatures w14:val="none"/>
            </w:rPr>
            <w:t>2</w:t>
          </w:r>
        </w:p>
        <w:p w14:paraId="6EC06DAB" w14:textId="1E7667C6" w:rsidR="00B43D59" w:rsidRPr="00CD4D98" w:rsidRDefault="00B43D59" w:rsidP="00CD4D98">
          <w:pPr>
            <w:spacing w:after="0" w:line="288" w:lineRule="auto"/>
            <w:rPr>
              <w:rFonts w:ascii="Times New Roman" w:eastAsia="Times New Roman" w:hAnsi="Times New Roman" w:cs="Times New Roman"/>
              <w:bCs/>
              <w:color w:val="000000"/>
              <w:kern w:val="0"/>
              <w:sz w:val="28"/>
              <w:szCs w:val="28"/>
              <w:lang w:eastAsia="ru-RU"/>
              <w14:ligatures w14:val="none"/>
            </w:rPr>
          </w:pPr>
          <w:r w:rsidRPr="00CD4D98">
            <w:rPr>
              <w:rFonts w:ascii="Times New Roman" w:eastAsia="Times New Roman" w:hAnsi="Times New Roman" w:cs="Times New Roman"/>
              <w:bCs/>
              <w:color w:val="000000"/>
              <w:kern w:val="0"/>
              <w:sz w:val="28"/>
              <w:szCs w:val="28"/>
              <w:lang w:eastAsia="ru-RU"/>
              <w14:ligatures w14:val="none"/>
            </w:rPr>
            <w:t>Висновки до розділу 3</w:t>
          </w:r>
          <w:r w:rsidR="005E2EB1">
            <w:rPr>
              <w:rFonts w:ascii="Times New Roman" w:eastAsia="Times New Roman" w:hAnsi="Times New Roman" w:cs="Times New Roman"/>
              <w:bCs/>
              <w:color w:val="000000"/>
              <w:kern w:val="0"/>
              <w:sz w:val="28"/>
              <w:szCs w:val="28"/>
              <w:lang w:eastAsia="ru-RU"/>
              <w14:ligatures w14:val="none"/>
            </w:rPr>
            <w:t>……………………………………………………………</w:t>
          </w:r>
          <w:r w:rsidR="00513446" w:rsidRPr="00CD4D98">
            <w:rPr>
              <w:rFonts w:ascii="Times New Roman" w:eastAsia="Times New Roman" w:hAnsi="Times New Roman" w:cs="Times New Roman"/>
              <w:bCs/>
              <w:color w:val="000000"/>
              <w:kern w:val="0"/>
              <w:sz w:val="28"/>
              <w:szCs w:val="28"/>
              <w:lang w:eastAsia="ru-RU"/>
              <w14:ligatures w14:val="none"/>
            </w:rPr>
            <w:t>6</w:t>
          </w:r>
          <w:r w:rsidR="005D787E">
            <w:rPr>
              <w:rFonts w:ascii="Times New Roman" w:eastAsia="Times New Roman" w:hAnsi="Times New Roman" w:cs="Times New Roman"/>
              <w:bCs/>
              <w:color w:val="000000"/>
              <w:kern w:val="0"/>
              <w:sz w:val="28"/>
              <w:szCs w:val="28"/>
              <w:lang w:eastAsia="ru-RU"/>
              <w14:ligatures w14:val="none"/>
            </w:rPr>
            <w:t>7</w:t>
          </w:r>
        </w:p>
        <w:p w14:paraId="673C283D" w14:textId="217DFF63" w:rsidR="00B43D59" w:rsidRPr="00CD4D98" w:rsidRDefault="00B43D59" w:rsidP="00CD4D98">
          <w:pPr>
            <w:spacing w:after="0" w:line="288" w:lineRule="auto"/>
            <w:rPr>
              <w:rFonts w:ascii="Times New Roman" w:eastAsia="Times New Roman" w:hAnsi="Times New Roman" w:cs="Times New Roman"/>
              <w:bCs/>
              <w:color w:val="000000"/>
              <w:kern w:val="0"/>
              <w:sz w:val="28"/>
              <w:szCs w:val="28"/>
              <w:lang w:eastAsia="ru-RU"/>
              <w14:ligatures w14:val="none"/>
            </w:rPr>
          </w:pPr>
          <w:r w:rsidRPr="00CD4D98">
            <w:rPr>
              <w:rFonts w:ascii="Times New Roman" w:eastAsia="Times New Roman" w:hAnsi="Times New Roman" w:cs="Times New Roman"/>
              <w:bCs/>
              <w:color w:val="000000"/>
              <w:kern w:val="0"/>
              <w:sz w:val="28"/>
              <w:szCs w:val="28"/>
              <w:lang w:eastAsia="ru-RU"/>
              <w14:ligatures w14:val="none"/>
            </w:rPr>
            <w:t>Висновки</w:t>
          </w:r>
          <w:r w:rsidR="005E2EB1">
            <w:rPr>
              <w:rFonts w:ascii="Times New Roman" w:eastAsia="Times New Roman" w:hAnsi="Times New Roman" w:cs="Times New Roman"/>
              <w:bCs/>
              <w:color w:val="000000"/>
              <w:kern w:val="0"/>
              <w:sz w:val="28"/>
              <w:szCs w:val="28"/>
              <w:lang w:eastAsia="ru-RU"/>
              <w14:ligatures w14:val="none"/>
            </w:rPr>
            <w:t>…………………………………………………………………………..</w:t>
          </w:r>
          <w:r w:rsidR="005D787E">
            <w:rPr>
              <w:rFonts w:ascii="Times New Roman" w:eastAsia="Times New Roman" w:hAnsi="Times New Roman" w:cs="Times New Roman"/>
              <w:bCs/>
              <w:color w:val="000000"/>
              <w:kern w:val="0"/>
              <w:sz w:val="28"/>
              <w:szCs w:val="28"/>
              <w:lang w:eastAsia="ru-RU"/>
              <w14:ligatures w14:val="none"/>
            </w:rPr>
            <w:t>69</w:t>
          </w:r>
        </w:p>
        <w:p w14:paraId="022CB6E9" w14:textId="74FB22A7" w:rsidR="00111F16" w:rsidRPr="00CD4D98" w:rsidRDefault="00B43D59" w:rsidP="00CD4D98">
          <w:pPr>
            <w:spacing w:after="0" w:line="288" w:lineRule="auto"/>
            <w:rPr>
              <w:rFonts w:ascii="Times New Roman" w:eastAsia="Times New Roman" w:hAnsi="Times New Roman" w:cs="Times New Roman"/>
              <w:bCs/>
              <w:color w:val="000000"/>
              <w:kern w:val="0"/>
              <w:sz w:val="28"/>
              <w:szCs w:val="28"/>
              <w:lang w:eastAsia="ru-RU"/>
              <w14:ligatures w14:val="none"/>
            </w:rPr>
          </w:pPr>
          <w:r w:rsidRPr="00CD4D98">
            <w:rPr>
              <w:rFonts w:ascii="Times New Roman" w:eastAsia="Times New Roman" w:hAnsi="Times New Roman" w:cs="Times New Roman"/>
              <w:bCs/>
              <w:color w:val="000000"/>
              <w:kern w:val="0"/>
              <w:sz w:val="28"/>
              <w:szCs w:val="28"/>
              <w:lang w:eastAsia="ru-RU"/>
              <w14:ligatures w14:val="none"/>
            </w:rPr>
            <w:t>Список використаних джерел</w:t>
          </w:r>
          <w:r w:rsidR="005E2EB1">
            <w:rPr>
              <w:rFonts w:ascii="Times New Roman" w:eastAsia="Times New Roman" w:hAnsi="Times New Roman" w:cs="Times New Roman"/>
              <w:bCs/>
              <w:color w:val="000000"/>
              <w:kern w:val="0"/>
              <w:sz w:val="28"/>
              <w:szCs w:val="28"/>
              <w:lang w:eastAsia="ru-RU"/>
              <w14:ligatures w14:val="none"/>
            </w:rPr>
            <w:t>……………………………………………………</w:t>
          </w:r>
          <w:r w:rsidRPr="00CD4D98">
            <w:rPr>
              <w:rFonts w:ascii="Times New Roman" w:eastAsia="Times New Roman" w:hAnsi="Times New Roman" w:cs="Times New Roman"/>
              <w:bCs/>
              <w:color w:val="000000"/>
              <w:kern w:val="0"/>
              <w:sz w:val="28"/>
              <w:szCs w:val="28"/>
              <w:lang w:eastAsia="ru-RU"/>
              <w14:ligatures w14:val="none"/>
            </w:rPr>
            <w:t>7</w:t>
          </w:r>
          <w:r w:rsidR="005D787E">
            <w:rPr>
              <w:rFonts w:ascii="Times New Roman" w:eastAsia="Times New Roman" w:hAnsi="Times New Roman" w:cs="Times New Roman"/>
              <w:bCs/>
              <w:color w:val="000000"/>
              <w:kern w:val="0"/>
              <w:sz w:val="28"/>
              <w:szCs w:val="28"/>
              <w:lang w:eastAsia="ru-RU"/>
              <w14:ligatures w14:val="none"/>
            </w:rPr>
            <w:t>2</w:t>
          </w:r>
        </w:p>
      </w:sdtContent>
    </w:sdt>
    <w:p w14:paraId="3DFAD68D" w14:textId="77777777" w:rsidR="000579ED" w:rsidRPr="00CD4D98" w:rsidRDefault="000579ED" w:rsidP="00CD4D98">
      <w:pPr>
        <w:spacing w:after="0" w:line="288" w:lineRule="auto"/>
        <w:rPr>
          <w:rFonts w:ascii="Times New Roman" w:eastAsia="Times New Roman" w:hAnsi="Times New Roman" w:cs="Times New Roman"/>
          <w:bCs/>
          <w:color w:val="000000"/>
          <w:kern w:val="0"/>
          <w:sz w:val="28"/>
          <w:szCs w:val="28"/>
          <w:lang w:eastAsia="ru-RU"/>
          <w14:ligatures w14:val="none"/>
        </w:rPr>
      </w:pPr>
      <w:bookmarkStart w:id="3" w:name="_Toc194707104"/>
      <w:bookmarkEnd w:id="2"/>
      <w:r w:rsidRPr="00CD4D98">
        <w:rPr>
          <w:rFonts w:ascii="Times New Roman" w:eastAsia="Times New Roman" w:hAnsi="Times New Roman" w:cs="Times New Roman"/>
          <w:bCs/>
          <w:color w:val="000000"/>
          <w:kern w:val="0"/>
          <w:sz w:val="28"/>
          <w:szCs w:val="28"/>
          <w:lang w:eastAsia="ru-RU"/>
          <w14:ligatures w14:val="none"/>
        </w:rPr>
        <w:br w:type="page"/>
      </w:r>
    </w:p>
    <w:p w14:paraId="3E58EC42" w14:textId="249DDEFF" w:rsidR="002015DF" w:rsidRPr="002015DF" w:rsidRDefault="002015DF" w:rsidP="002015DF">
      <w:pPr>
        <w:spacing w:after="0" w:line="360" w:lineRule="auto"/>
        <w:ind w:firstLine="706"/>
        <w:jc w:val="center"/>
        <w:outlineLvl w:val="0"/>
        <w:rPr>
          <w:rFonts w:ascii="Times New Roman" w:eastAsia="Calibri" w:hAnsi="Times New Roman" w:cs="Times New Roman"/>
          <w:b/>
          <w:color w:val="000000"/>
          <w:kern w:val="0"/>
          <w:sz w:val="28"/>
          <w:szCs w:val="28"/>
          <w14:ligatures w14:val="none"/>
        </w:rPr>
      </w:pPr>
      <w:r w:rsidRPr="002015DF">
        <w:rPr>
          <w:rFonts w:ascii="Times New Roman" w:eastAsia="Times New Roman" w:hAnsi="Times New Roman" w:cs="Times New Roman"/>
          <w:b/>
          <w:color w:val="000000"/>
          <w:kern w:val="0"/>
          <w:sz w:val="28"/>
          <w:szCs w:val="28"/>
          <w14:ligatures w14:val="none"/>
        </w:rPr>
        <w:lastRenderedPageBreak/>
        <w:t>ВСТУП</w:t>
      </w:r>
      <w:bookmarkEnd w:id="3"/>
    </w:p>
    <w:p w14:paraId="746C65CF"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7D8A9B20"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Розбудова ефективної системи управління земельними ресурсами в Україні вимагає науково вивірених підходів до їх обліку, документального оформлення та використання. Станом на сьогодні спостерігається невідповідність між фактичним станом землекористування і відображенням відповідної інформації у державних реєстрах, що ускладнює прийняття управлінських рішень на національному та місцевому рівнях. У зв’язку з цим інвентаризація земель набуває функції інструмента, що забезпечує систематизацію, впорядкування та оновлення інформації щодо кількісних і якісних характеристик земельних ділянок, їх правового статусу, меж, форми власності та цільового призначення. У межах трансформаційної моделі просторового планування, інвентаризація слугує базовим етапом, на якому ґрунтується формування програм землеустрою, планів використання територій та документів просторового розвитку.</w:t>
      </w:r>
    </w:p>
    <w:p w14:paraId="496E0E3D"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Наукове осмислення питань інвентаризації земель відображено у працях </w:t>
      </w:r>
      <w:r w:rsidRPr="002015DF">
        <w:rPr>
          <w:rFonts w:ascii="Times New Roman" w:eastAsia="Calibri" w:hAnsi="Times New Roman" w:cs="Times New Roman"/>
          <w:color w:val="000000"/>
          <w:kern w:val="0"/>
          <w:sz w:val="28"/>
          <w:szCs w:val="28"/>
          <w14:ligatures w14:val="none"/>
        </w:rPr>
        <w:t>Дацка Д.Д., Дороша Й.М., Зінченка Т.Є., Мартин А.Г., Колодяжної Т.В., Островерха В.О. Автори аналізують концептуальні підходи до організації інвентаризаційних заходів, наголошуючи на їх значенні в умовах децентралізації управління. У публікаціях Інституту земельного кадастру та геодезії наголошується на необхідності використання сучасного програмного забезпечення, зокрема геоінформаційних систем, при проведенні інвентаризаційних робіт. Іванова О.Ю. виокремлює актуальні тенденції інвентаризації земель, серед яких - інтеграція відомчих баз даних, використання аерофотознімання та віддаленого моніторингу. У той час як Звіт Державного агентства земельних ресурсів в Україні фіксує нерівномірність охоплення територій та недостатню координацію між суб’єктами, відповідальними за облік земель.</w:t>
      </w:r>
    </w:p>
    <w:p w14:paraId="1E251E7E"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Однак попри наявність значного масиву напрацювань, стан інвентаризації земель у багатьох громадах залишається фрагментарним, що спричинено </w:t>
      </w:r>
      <w:r w:rsidRPr="002015DF">
        <w:rPr>
          <w:rFonts w:ascii="Times New Roman" w:eastAsia="Calibri" w:hAnsi="Times New Roman" w:cs="Times New Roman"/>
          <w:color w:val="000000"/>
          <w:kern w:val="0"/>
          <w:sz w:val="28"/>
          <w:szCs w:val="28"/>
          <w14:ligatures w14:val="none"/>
        </w:rPr>
        <w:lastRenderedPageBreak/>
        <w:t>відсутністю уніфікованих методик, неузгодженістю нормативної бази, браком технічного забезпечення, а також недостатньою кадровою укомплектованістю на місцях. Дотепер відсутня узагальнена методологія застосування результатів інвентаризації при формуванні кадастрової інформації та землевпорядних планів. Актуальним є дослідження не лише процедурної структури інвентаризації, а й механізмів її практичного впровадження на основі аналітичної обробки інформації, отриманої в результаті польових і камеральних робіт.</w:t>
      </w:r>
    </w:p>
    <w:p w14:paraId="110F8392"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Метою дослідження є обґрунтування теоретико-правових та прикладних засад організації інвентаризації земель у системі землеустрою з подальшим визначенням порядку її реалізації, формуванням алгоритму облікових процедур і виявленням напрямів використання результатів інвентаризаційних робіт для стратегічного планування землекористування.</w:t>
      </w:r>
    </w:p>
    <w:p w14:paraId="1B372992"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Для реалізації поставленої мети в роботі визначено такі завдання: дослідити поняття, мету та функціональне значення інвентаризації земель у системі землеустрою; проаналізувати сучасний стан законодавчого забезпечення інвентаризаційних заходів в Україні; охарактеризувати практичні етапи проведення інвентаризації, зокрема підготовчий, польовий, камеральний та етап документування; вивчити специфіку інвентаризації земель сільськогосподарського призначення державної та комунальної власності; систематизувати дані щодо виявлення неоформлених, невикористаних або використаних із порушенням законодавства земельних ділянок; дослідити взаємодію органів місцевого самоврядування з землевпорядними установами при організації інвентаризаційних процесів; обґрунтувати застосування результатів інвентаризації для оновлення кадастрових відомостей і просторового планування.</w:t>
      </w:r>
    </w:p>
    <w:p w14:paraId="2E427BFD"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Об’єктом дослідження є процедура та послідовність організації інвентаризації земель у системі землеустрою на території України, з урахуванням нормативного, інформаційного та інституційного контекстів.</w:t>
      </w:r>
    </w:p>
    <w:p w14:paraId="479B6A5B"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lastRenderedPageBreak/>
        <w:t xml:space="preserve">Предметом дослідження є сукупність правових, методичних та технологічних механізмів організації та реалізації інвентаризації земель, </w:t>
      </w:r>
      <w:r w:rsidRPr="002015DF">
        <w:rPr>
          <w:rFonts w:ascii="Times New Roman" w:eastAsia="Calibri" w:hAnsi="Times New Roman" w:cs="Times New Roman"/>
          <w:color w:val="000000"/>
          <w:kern w:val="0"/>
          <w:sz w:val="28"/>
          <w:szCs w:val="28"/>
          <w14:ligatures w14:val="none"/>
        </w:rPr>
        <w:t>включаючи процедурний алгоритм, засоби фіксації і реєстрації відомостей, інструменти взаємодії між суб’єктами землеустрою, а також способи практичного застосування отриманих даних.</w:t>
      </w:r>
    </w:p>
    <w:p w14:paraId="304C0FE8"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Методологічною основою дослідження є комплекс взаємопов’язаних загальнонаукових і спеціальних методів. Застосовано </w:t>
      </w:r>
      <w:r w:rsidRPr="002015DF">
        <w:rPr>
          <w:rFonts w:ascii="Times New Roman" w:eastAsia="Calibri" w:hAnsi="Times New Roman" w:cs="Times New Roman"/>
          <w:color w:val="000000"/>
          <w:kern w:val="0"/>
          <w:sz w:val="28"/>
          <w:szCs w:val="28"/>
          <w14:ligatures w14:val="none"/>
        </w:rPr>
        <w:t>абстрактно-логічний метод для формалізації понятійно-категоріального апарату дослідження, побудови висновків та узагальнень. Метод системного аналізу дозволив представити інвентаризацію як складову єдиної системи землеустрою та виявити взаємозалежності між етапами її реалізації. Монографічний метод забезпечив структуроване вивчення фахових джерел, що дало змогу критично оцінити існуючі підходи до організації інвентаризації. Використано метод правового аналізу для систематизації чинної нормативної бази. Методи геоінформаційного моделювання застосовувались під час дослідження способів фіксації просторових характеристик земельних ділянок. У межах оцінки практичної реалізації інвентаризаційних заходів використано елементи порівняльного аналізу та експертного оцінювання.</w:t>
      </w:r>
    </w:p>
    <w:p w14:paraId="710B11DE"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Інформаційну основу дослідження становлять нормативно-правові акти України, що регламентують питання землеустрою та державного земельного кадастру, звітність Державної служби України з питань геодезії, картографії та кадастру, матеріали землевпорядних організацій, аналітичні огляди профільних інституцій, результати регіональних інвентаризаційних кампаній, фахова література в галузі землеустрою, кадастру, земельного права, а також бази даних </w:t>
      </w:r>
      <w:r w:rsidRPr="002015DF">
        <w:rPr>
          <w:rFonts w:ascii="Times New Roman" w:eastAsia="Calibri" w:hAnsi="Times New Roman" w:cs="Times New Roman"/>
          <w:color w:val="000000"/>
          <w:kern w:val="0"/>
          <w:sz w:val="28"/>
          <w:szCs w:val="28"/>
          <w14:ligatures w14:val="none"/>
        </w:rPr>
        <w:t>проєктних організацій і науково-дослідних установ.</w:t>
      </w:r>
    </w:p>
    <w:p w14:paraId="624CEB3B" w14:textId="201B03E8" w:rsidR="002015DF" w:rsidRPr="00DB5A7F" w:rsidRDefault="002015DF" w:rsidP="00DB5A7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Практичне значення результатів полягає у можливості застосування розроблених у дослідженні методичних підходів до планування, організації та реалізації інвентаризаційних заходів у системі сучасного землеустрою, оптимізації процедур фіксації та обробки даних, адаптації інвентаризаційних результатів до вимог кадастрового обліку, а також використання напрацьованих </w:t>
      </w:r>
      <w:r w:rsidRPr="002015DF">
        <w:rPr>
          <w:rFonts w:ascii="Times New Roman" w:eastAsia="Times New Roman" w:hAnsi="Times New Roman" w:cs="Times New Roman"/>
          <w:color w:val="000000"/>
          <w:kern w:val="0"/>
          <w:sz w:val="28"/>
          <w:szCs w:val="28"/>
          <w14:ligatures w14:val="none"/>
        </w:rPr>
        <w:lastRenderedPageBreak/>
        <w:t>моделей для формування просторових планів і програм землекористування територіальних громад.</w:t>
      </w:r>
      <w:r w:rsidRPr="002015DF">
        <w:rPr>
          <w:rFonts w:ascii="Times New Roman" w:eastAsia="Calibri" w:hAnsi="Times New Roman" w:cs="Times New Roman"/>
          <w:b/>
          <w:color w:val="000000"/>
          <w:kern w:val="0"/>
          <w:sz w:val="28"/>
          <w:szCs w:val="28"/>
          <w14:ligatures w14:val="none"/>
        </w:rPr>
        <w:br w:type="page"/>
      </w:r>
    </w:p>
    <w:p w14:paraId="3BE92BD9" w14:textId="77777777" w:rsidR="002015DF" w:rsidRPr="002015DF" w:rsidRDefault="002015DF" w:rsidP="005E2EB1">
      <w:pPr>
        <w:spacing w:after="0" w:line="360" w:lineRule="auto"/>
        <w:ind w:firstLine="709"/>
        <w:jc w:val="center"/>
        <w:outlineLvl w:val="0"/>
        <w:rPr>
          <w:rFonts w:ascii="Times New Roman" w:eastAsia="Calibri" w:hAnsi="Times New Roman" w:cs="Times New Roman"/>
          <w:b/>
          <w:color w:val="000000"/>
          <w:kern w:val="0"/>
          <w:sz w:val="28"/>
          <w:szCs w:val="28"/>
          <w14:ligatures w14:val="none"/>
        </w:rPr>
      </w:pPr>
      <w:bookmarkStart w:id="4" w:name="_Toc194707105"/>
      <w:r w:rsidRPr="002015DF">
        <w:rPr>
          <w:rFonts w:ascii="Times New Roman" w:eastAsia="Times New Roman" w:hAnsi="Times New Roman" w:cs="Times New Roman"/>
          <w:b/>
          <w:color w:val="000000"/>
          <w:kern w:val="0"/>
          <w:sz w:val="28"/>
          <w:szCs w:val="28"/>
          <w14:ligatures w14:val="none"/>
        </w:rPr>
        <w:lastRenderedPageBreak/>
        <w:t xml:space="preserve">РОЗДІЛ 1 </w:t>
      </w:r>
    </w:p>
    <w:p w14:paraId="7B43EF82" w14:textId="77777777" w:rsidR="002015DF" w:rsidRPr="002015DF" w:rsidRDefault="002015DF" w:rsidP="005E2EB1">
      <w:pPr>
        <w:spacing w:after="0" w:line="360" w:lineRule="auto"/>
        <w:ind w:firstLine="709"/>
        <w:jc w:val="center"/>
        <w:outlineLvl w:val="0"/>
        <w:rPr>
          <w:rFonts w:ascii="Times New Roman" w:eastAsia="Calibri" w:hAnsi="Times New Roman" w:cs="Times New Roman"/>
          <w:b/>
          <w:color w:val="000000"/>
          <w:kern w:val="0"/>
          <w:sz w:val="28"/>
          <w:szCs w:val="28"/>
          <w14:ligatures w14:val="none"/>
        </w:rPr>
      </w:pPr>
      <w:r w:rsidRPr="002015DF">
        <w:rPr>
          <w:rFonts w:ascii="Times New Roman" w:eastAsia="Times New Roman" w:hAnsi="Times New Roman" w:cs="Times New Roman"/>
          <w:b/>
          <w:color w:val="000000"/>
          <w:kern w:val="0"/>
          <w:sz w:val="28"/>
          <w:szCs w:val="28"/>
          <w14:ligatures w14:val="none"/>
        </w:rPr>
        <w:t>ТЕОРЕТИКО-ПРАВОВІ ЗАСАДИ ІНВЕНТАРИЗАЦІЇ ЗЕМЕЛЬ ЯК ЕЛЕМЕНТА ЗЕМЛЕУСТРОЮ</w:t>
      </w:r>
      <w:bookmarkEnd w:id="4"/>
    </w:p>
    <w:p w14:paraId="78483998" w14:textId="77777777" w:rsidR="002015DF" w:rsidRPr="002015DF" w:rsidRDefault="002015DF" w:rsidP="005E2EB1">
      <w:pPr>
        <w:spacing w:after="0" w:line="360" w:lineRule="auto"/>
        <w:ind w:firstLine="709"/>
        <w:jc w:val="both"/>
        <w:rPr>
          <w:rFonts w:ascii="Times New Roman" w:eastAsia="Calibri" w:hAnsi="Times New Roman" w:cs="Times New Roman"/>
          <w:color w:val="000000"/>
          <w:kern w:val="0"/>
          <w:sz w:val="28"/>
          <w:szCs w:val="28"/>
          <w14:ligatures w14:val="none"/>
        </w:rPr>
      </w:pPr>
    </w:p>
    <w:p w14:paraId="05D687AA" w14:textId="77777777" w:rsidR="002015DF" w:rsidRPr="002015DF" w:rsidRDefault="002015DF" w:rsidP="005E2EB1">
      <w:pPr>
        <w:spacing w:after="0" w:line="360" w:lineRule="auto"/>
        <w:ind w:firstLine="709"/>
        <w:jc w:val="both"/>
        <w:outlineLvl w:val="1"/>
        <w:rPr>
          <w:rFonts w:ascii="Times New Roman" w:eastAsia="Calibri" w:hAnsi="Times New Roman" w:cs="Times New Roman"/>
          <w:b/>
          <w:color w:val="000000"/>
          <w:kern w:val="0"/>
          <w:sz w:val="28"/>
          <w:szCs w:val="28"/>
          <w14:ligatures w14:val="none"/>
        </w:rPr>
      </w:pPr>
      <w:bookmarkStart w:id="5" w:name="_Toc194707106"/>
      <w:r w:rsidRPr="002015DF">
        <w:rPr>
          <w:rFonts w:ascii="Times New Roman" w:eastAsia="Times New Roman" w:hAnsi="Times New Roman" w:cs="Times New Roman"/>
          <w:b/>
          <w:color w:val="000000"/>
          <w:kern w:val="0"/>
          <w:sz w:val="28"/>
          <w:szCs w:val="28"/>
          <w14:ligatures w14:val="none"/>
        </w:rPr>
        <w:t xml:space="preserve">1.1 </w:t>
      </w:r>
      <w:r w:rsidRPr="002015DF">
        <w:rPr>
          <w:rFonts w:ascii="Times New Roman" w:eastAsia="Calibri" w:hAnsi="Times New Roman" w:cs="Times New Roman"/>
          <w:b/>
          <w:bCs/>
          <w:color w:val="000000"/>
          <w:kern w:val="0"/>
          <w:sz w:val="28"/>
          <w:szCs w:val="28"/>
          <w14:ligatures w14:val="none"/>
        </w:rPr>
        <w:t>Поняття, мета та завдання інвентаризації земель у системі землевпорядкуванн</w:t>
      </w:r>
      <w:bookmarkEnd w:id="5"/>
      <w:r w:rsidRPr="002015DF">
        <w:rPr>
          <w:rFonts w:ascii="Times New Roman" w:eastAsia="Calibri" w:hAnsi="Times New Roman" w:cs="Times New Roman"/>
          <w:b/>
          <w:bCs/>
          <w:color w:val="000000"/>
          <w:kern w:val="0"/>
          <w:sz w:val="28"/>
          <w:szCs w:val="28"/>
          <w14:ligatures w14:val="none"/>
        </w:rPr>
        <w:t>я</w:t>
      </w:r>
    </w:p>
    <w:p w14:paraId="216F6E10" w14:textId="77777777" w:rsidR="005E2EB1" w:rsidRDefault="005E2EB1" w:rsidP="005E2EB1">
      <w:pPr>
        <w:spacing w:after="0" w:line="360" w:lineRule="auto"/>
        <w:ind w:firstLine="709"/>
        <w:jc w:val="both"/>
        <w:rPr>
          <w:rFonts w:ascii="Times New Roman" w:eastAsia="Times New Roman" w:hAnsi="Times New Roman" w:cs="Times New Roman"/>
          <w:color w:val="000000"/>
          <w:kern w:val="0"/>
          <w:sz w:val="28"/>
          <w:szCs w:val="28"/>
          <w14:ligatures w14:val="none"/>
        </w:rPr>
      </w:pPr>
    </w:p>
    <w:p w14:paraId="44DAB199" w14:textId="77777777" w:rsidR="005E2EB1" w:rsidRDefault="005E2EB1" w:rsidP="005E2EB1">
      <w:pPr>
        <w:spacing w:after="0" w:line="360" w:lineRule="auto"/>
        <w:ind w:firstLine="709"/>
        <w:jc w:val="both"/>
        <w:rPr>
          <w:rFonts w:ascii="Times New Roman" w:eastAsia="Times New Roman" w:hAnsi="Times New Roman" w:cs="Times New Roman"/>
          <w:color w:val="000000"/>
          <w:kern w:val="0"/>
          <w:sz w:val="28"/>
          <w:szCs w:val="28"/>
          <w14:ligatures w14:val="none"/>
        </w:rPr>
      </w:pPr>
    </w:p>
    <w:p w14:paraId="121F3996" w14:textId="4ADE150F" w:rsidR="002015DF" w:rsidRPr="002015DF" w:rsidRDefault="002015DF" w:rsidP="005E2EB1">
      <w:pPr>
        <w:spacing w:after="0" w:line="360" w:lineRule="auto"/>
        <w:ind w:firstLine="709"/>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Інвентаризація земель у системі сучасного землевпорядкування є складовим елементом управління територіальними ресурсами держави, що спрямований на досягнення функціональної узгодженості правового, економічного та екологічного механізмів регуляції землекористування. Вона передбачає сукупність взаємопов’язаних процедур, що охоплюють виявлення фактичного стану землекористування, його об’єктивний опис, класифікацію й оцінювання відповідності юридичних, фактичних і кадастрових даних. У правовому полі інвентаризація розглядається як інструмент уточнення та гармонізації інформації про об'єкти земельних відносин, що забезпечує достовірність державного земельного кадастру, а у сфері землевпорядної науки - як методичне та технологічне підґрунтя для прийняття рішень щодо використання, охорони й відновлення земельних ресурсів [15, с. 6].</w:t>
      </w:r>
    </w:p>
    <w:p w14:paraId="52F0E524"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Принципова особливість інвентаризації полягає в її багатофункціональності, адже вона не зводиться до простої фіксації площ, меж і цільового призначення ділянок, а забезпечує аналіз просторової структури земельного фонду з урахуванням господарських, соціально-економічних та екологічних параметрів. У цьому контексті інвентаризація виконує функцію комплексного дослідження, що поєднує елементи геодезичного, картографічного, земельно-оціночного та правового моніторингу з метою забезпечення прозорості земельних відносин.</w:t>
      </w:r>
    </w:p>
    <w:p w14:paraId="7E937203" w14:textId="401B9815"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Метою інвентаризації є встановлення системного контролю за відповідністю фактичного використання земель визначеним нормам, </w:t>
      </w:r>
      <w:r w:rsidRPr="002015DF">
        <w:rPr>
          <w:rFonts w:ascii="Times New Roman" w:eastAsia="Times New Roman" w:hAnsi="Times New Roman" w:cs="Times New Roman"/>
          <w:color w:val="000000"/>
          <w:kern w:val="0"/>
          <w:sz w:val="28"/>
          <w:szCs w:val="28"/>
          <w14:ligatures w14:val="none"/>
        </w:rPr>
        <w:lastRenderedPageBreak/>
        <w:t xml:space="preserve">забезпечення правової визначеності власності та землекористування, а також виявлення нераціонального, неефективного або незаконного використання </w:t>
      </w:r>
      <w:r w:rsidRPr="002015DF">
        <w:rPr>
          <w:rFonts w:ascii="Times New Roman" w:eastAsia="Calibri" w:hAnsi="Times New Roman" w:cs="Times New Roman"/>
          <w:color w:val="000000"/>
          <w:kern w:val="0"/>
          <w:sz w:val="28"/>
          <w:szCs w:val="28"/>
          <w14:ligatures w14:val="none"/>
        </w:rPr>
        <w:t>територіальних ресурсів. У площині державного управління цей процес забезпечує формування обґрунтованої політики у сфері регулювання земельних відносин, розробки стратегій просторового планування та оцінювання ресурсного потенціалу територій. Просторове впорядкування, досягнуте шляхом інвентаризації, дозволяє систематизувати земельний фонд за видами землекористування, ступенем освоєння, якісними характеристиками ґрунтів, інфраструктурною доступністю, екологічним навантаженням та рівнем правового оформлення. У результаті інвентаризаційних заходів створюється актуалізована база просторових даних, яка використовується як у системі державного кадастру, так і для цілей планування територій, зонування, формування кластерів і агломерацій, визначення резервів під розширення забудови, рекультивації деградованих ділянок, інфраструктурного розвитку</w:t>
      </w:r>
      <w:r w:rsidR="005E2EB1">
        <w:rPr>
          <w:rFonts w:ascii="Times New Roman" w:eastAsia="Calibri" w:hAnsi="Times New Roman" w:cs="Times New Roman"/>
          <w:color w:val="000000"/>
          <w:kern w:val="0"/>
          <w:sz w:val="28"/>
          <w:szCs w:val="28"/>
          <w14:ligatures w14:val="none"/>
        </w:rPr>
        <w:t xml:space="preserve"> (таблиця 1.1)</w:t>
      </w:r>
      <w:r w:rsidRPr="002015DF">
        <w:rPr>
          <w:rFonts w:ascii="Times New Roman" w:eastAsia="Calibri" w:hAnsi="Times New Roman" w:cs="Times New Roman"/>
          <w:color w:val="000000"/>
          <w:kern w:val="0"/>
          <w:sz w:val="28"/>
          <w:szCs w:val="28"/>
          <w14:ligatures w14:val="none"/>
        </w:rPr>
        <w:t xml:space="preserve"> [43, с. 77].</w:t>
      </w:r>
    </w:p>
    <w:p w14:paraId="589CEDF5" w14:textId="77777777" w:rsidR="005E2EB1" w:rsidRPr="002015DF" w:rsidRDefault="005E2EB1" w:rsidP="005E2EB1">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Інвентаризація дозволяє ідентифікувати неоформлені або неактуалізовані землекористування, самовільні зайняття земель, порушення меж, невідповідність реального використання цільовому призначенню, надмірну фрагментацію або надлишкову концентрацію земель у власності певних суб’єктів. Така інформація становить основу для юридичної реєстрації прав, оформлення документації на земельні ділянки, внесення змін до кадастрових записів, а також для стягнення плати за землю, запобігання порушенням земельного законодавства. Окрім верифікації правового статусу, інвентаризація має техніко-економічний вимір: вона дозволяє виявити неефективні форми землекористування, недоотримання прибутків від продуктивних земель, зниження родючості або ризики деградації. У рамках проведення оцінки землекористування здійснюється аналіз показників якості земель: структури угідь, гідромеліоративного стану, ерозійної небезпеки, забруднення, що сприяє прийняттю рішень щодо агротехнічної оптимізації або екологічного відновлення [46, с. 3].</w:t>
      </w:r>
    </w:p>
    <w:p w14:paraId="7989D86B" w14:textId="427D407A" w:rsidR="002015DF" w:rsidRPr="002015DF" w:rsidRDefault="002015DF" w:rsidP="002015DF">
      <w:pPr>
        <w:spacing w:after="0" w:line="360" w:lineRule="auto"/>
        <w:ind w:firstLine="706"/>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lastRenderedPageBreak/>
        <w:t>Таблиця 1.1 – Інвентаризація земель як інструмент державного управління та просторової організації територі</w:t>
      </w:r>
      <w:r w:rsidR="005E2EB1">
        <w:rPr>
          <w:rFonts w:ascii="Times New Roman" w:eastAsia="Times New Roman" w:hAnsi="Times New Roman" w:cs="Times New Roman"/>
          <w:color w:val="000000"/>
          <w:kern w:val="0"/>
          <w:sz w:val="28"/>
          <w:szCs w:val="28"/>
          <w14:ligatures w14:val="none"/>
        </w:rPr>
        <w:t>ї</w:t>
      </w:r>
    </w:p>
    <w:tbl>
      <w:tblPr>
        <w:tblStyle w:val="ae"/>
        <w:tblW w:w="0" w:type="auto"/>
        <w:tblLook w:val="04A0" w:firstRow="1" w:lastRow="0" w:firstColumn="1" w:lastColumn="0" w:noHBand="0" w:noVBand="1"/>
      </w:tblPr>
      <w:tblGrid>
        <w:gridCol w:w="2201"/>
        <w:gridCol w:w="1868"/>
        <w:gridCol w:w="1866"/>
        <w:gridCol w:w="1866"/>
        <w:gridCol w:w="2054"/>
      </w:tblGrid>
      <w:tr w:rsidR="00C81213" w:rsidRPr="002015DF" w14:paraId="6BA06B9F" w14:textId="77777777" w:rsidTr="00CD4D98">
        <w:tc>
          <w:tcPr>
            <w:tcW w:w="1868" w:type="dxa"/>
          </w:tcPr>
          <w:p w14:paraId="03C5330A" w14:textId="77777777" w:rsidR="00C81213" w:rsidRPr="002015DF" w:rsidRDefault="00C81213" w:rsidP="00AB3BD6">
            <w:pPr>
              <w:ind w:firstLine="22"/>
              <w:jc w:val="left"/>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Напрям оцінювання</w:t>
            </w:r>
          </w:p>
        </w:tc>
        <w:tc>
          <w:tcPr>
            <w:tcW w:w="1869" w:type="dxa"/>
          </w:tcPr>
          <w:p w14:paraId="3F43C2A7" w14:textId="7D72A3B9" w:rsidR="00C81213" w:rsidRPr="002015DF" w:rsidRDefault="00C81213" w:rsidP="00AB3BD6">
            <w:pPr>
              <w:ind w:firstLine="22"/>
              <w:jc w:val="left"/>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Зміст інвентаризацій</w:t>
            </w:r>
            <w:r w:rsidR="005E2EB1">
              <w:rPr>
                <w:rFonts w:ascii="Times New Roman" w:eastAsia="Calibri" w:hAnsi="Times New Roman" w:cs="Times New Roman"/>
                <w:sz w:val="24"/>
                <w:szCs w:val="24"/>
              </w:rPr>
              <w:t>-</w:t>
            </w:r>
            <w:r w:rsidRPr="002015DF">
              <w:rPr>
                <w:rFonts w:ascii="Times New Roman" w:eastAsia="Calibri" w:hAnsi="Times New Roman" w:cs="Times New Roman"/>
                <w:sz w:val="24"/>
                <w:szCs w:val="24"/>
              </w:rPr>
              <w:t>них процедур</w:t>
            </w:r>
          </w:p>
        </w:tc>
        <w:tc>
          <w:tcPr>
            <w:tcW w:w="1869" w:type="dxa"/>
          </w:tcPr>
          <w:p w14:paraId="258F471A" w14:textId="77777777" w:rsidR="00C81213" w:rsidRPr="002015DF" w:rsidRDefault="00C81213" w:rsidP="00AB3BD6">
            <w:pPr>
              <w:ind w:firstLine="22"/>
              <w:jc w:val="left"/>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Очікувані результати</w:t>
            </w:r>
          </w:p>
        </w:tc>
        <w:tc>
          <w:tcPr>
            <w:tcW w:w="1869" w:type="dxa"/>
          </w:tcPr>
          <w:p w14:paraId="04A78066" w14:textId="77777777" w:rsidR="00C81213" w:rsidRPr="002015DF" w:rsidRDefault="00C81213" w:rsidP="00AB3BD6">
            <w:pPr>
              <w:ind w:firstLine="22"/>
              <w:jc w:val="left"/>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Використання в системі управління</w:t>
            </w:r>
          </w:p>
        </w:tc>
        <w:tc>
          <w:tcPr>
            <w:tcW w:w="1869" w:type="dxa"/>
          </w:tcPr>
          <w:p w14:paraId="28F57544" w14:textId="77777777" w:rsidR="00C81213" w:rsidRPr="002015DF" w:rsidRDefault="00C81213" w:rsidP="00AB3BD6">
            <w:pPr>
              <w:ind w:firstLine="22"/>
              <w:jc w:val="left"/>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Просторово-кадастрові функції</w:t>
            </w:r>
          </w:p>
        </w:tc>
      </w:tr>
      <w:tr w:rsidR="00C81213" w:rsidRPr="002015DF" w14:paraId="1290D706" w14:textId="77777777" w:rsidTr="00CD4D98">
        <w:tc>
          <w:tcPr>
            <w:tcW w:w="1868" w:type="dxa"/>
          </w:tcPr>
          <w:p w14:paraId="044D9C44"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Правовий статус</w:t>
            </w:r>
          </w:p>
        </w:tc>
        <w:tc>
          <w:tcPr>
            <w:tcW w:w="1869" w:type="dxa"/>
          </w:tcPr>
          <w:p w14:paraId="30708697"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Встановлення відповідності фактичного користування правовим титулами</w:t>
            </w:r>
          </w:p>
        </w:tc>
        <w:tc>
          <w:tcPr>
            <w:tcW w:w="1869" w:type="dxa"/>
          </w:tcPr>
          <w:p w14:paraId="67E816EF"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Усунення подвійного користування, правових колізій</w:t>
            </w:r>
          </w:p>
        </w:tc>
        <w:tc>
          <w:tcPr>
            <w:tcW w:w="1869" w:type="dxa"/>
          </w:tcPr>
          <w:p w14:paraId="4DC4C4FC"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Актуалізація відомостей у Державному земельному кадастрі</w:t>
            </w:r>
          </w:p>
        </w:tc>
        <w:tc>
          <w:tcPr>
            <w:tcW w:w="1869" w:type="dxa"/>
          </w:tcPr>
          <w:p w14:paraId="10C5E28C"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Реєстрація, підтвердження чи скасування прав</w:t>
            </w:r>
          </w:p>
        </w:tc>
      </w:tr>
      <w:tr w:rsidR="00C81213" w:rsidRPr="002015DF" w14:paraId="775076C9" w14:textId="77777777" w:rsidTr="00CD4D98">
        <w:tc>
          <w:tcPr>
            <w:tcW w:w="1868" w:type="dxa"/>
          </w:tcPr>
          <w:p w14:paraId="5995C391"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Види землекористування</w:t>
            </w:r>
          </w:p>
        </w:tc>
        <w:tc>
          <w:tcPr>
            <w:tcW w:w="1869" w:type="dxa"/>
          </w:tcPr>
          <w:p w14:paraId="617C68F7"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Визначення фактичної функції ділянки</w:t>
            </w:r>
          </w:p>
        </w:tc>
        <w:tc>
          <w:tcPr>
            <w:tcW w:w="1869" w:type="dxa"/>
          </w:tcPr>
          <w:p w14:paraId="7CD3BD05"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Узгодження з цільовим призначенням</w:t>
            </w:r>
          </w:p>
        </w:tc>
        <w:tc>
          <w:tcPr>
            <w:tcW w:w="1869" w:type="dxa"/>
          </w:tcPr>
          <w:p w14:paraId="62075B3B"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Зіставлення з планами зонування</w:t>
            </w:r>
          </w:p>
        </w:tc>
        <w:tc>
          <w:tcPr>
            <w:tcW w:w="1869" w:type="dxa"/>
          </w:tcPr>
          <w:p w14:paraId="4F43CE5C"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Класифікація за функціональними типами</w:t>
            </w:r>
          </w:p>
        </w:tc>
      </w:tr>
      <w:tr w:rsidR="00C81213" w:rsidRPr="002015DF" w14:paraId="41F86210" w14:textId="77777777" w:rsidTr="00CD4D98">
        <w:tc>
          <w:tcPr>
            <w:tcW w:w="1868" w:type="dxa"/>
          </w:tcPr>
          <w:p w14:paraId="64E9F547"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Якість і стан ґрунтів</w:t>
            </w:r>
          </w:p>
        </w:tc>
        <w:tc>
          <w:tcPr>
            <w:tcW w:w="1869" w:type="dxa"/>
          </w:tcPr>
          <w:p w14:paraId="7E739329"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Аналіз деградації, забруднення, ерозії</w:t>
            </w:r>
          </w:p>
        </w:tc>
        <w:tc>
          <w:tcPr>
            <w:tcW w:w="1869" w:type="dxa"/>
          </w:tcPr>
          <w:p w14:paraId="32E17B17"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Виявлення проблемних зон</w:t>
            </w:r>
          </w:p>
        </w:tc>
        <w:tc>
          <w:tcPr>
            <w:tcW w:w="1869" w:type="dxa"/>
          </w:tcPr>
          <w:p w14:paraId="0F3BEA1D"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Визначення земель, що підлягають рекультивації</w:t>
            </w:r>
          </w:p>
        </w:tc>
        <w:tc>
          <w:tcPr>
            <w:tcW w:w="1869" w:type="dxa"/>
          </w:tcPr>
          <w:p w14:paraId="08911C53"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Картографування агровиробничих груп ґрунтів</w:t>
            </w:r>
          </w:p>
        </w:tc>
      </w:tr>
      <w:tr w:rsidR="00C81213" w:rsidRPr="002015DF" w14:paraId="3FF0DEEE" w14:textId="77777777" w:rsidTr="00CD4D98">
        <w:tc>
          <w:tcPr>
            <w:tcW w:w="1868" w:type="dxa"/>
          </w:tcPr>
          <w:p w14:paraId="70D6C558"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Інфраструктурна доступність</w:t>
            </w:r>
          </w:p>
        </w:tc>
        <w:tc>
          <w:tcPr>
            <w:tcW w:w="1869" w:type="dxa"/>
          </w:tcPr>
          <w:p w14:paraId="7A5DB062"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Аналіз транспортного сполучення, комунікацій, логістики</w:t>
            </w:r>
          </w:p>
        </w:tc>
        <w:tc>
          <w:tcPr>
            <w:tcW w:w="1869" w:type="dxa"/>
          </w:tcPr>
          <w:p w14:paraId="7744A3B2"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Визначення зон інвестиційної привабливості</w:t>
            </w:r>
          </w:p>
        </w:tc>
        <w:tc>
          <w:tcPr>
            <w:tcW w:w="1869" w:type="dxa"/>
          </w:tcPr>
          <w:p w14:paraId="1F48ECDC"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Планування розбудови доріг, комунікацій</w:t>
            </w:r>
          </w:p>
        </w:tc>
        <w:tc>
          <w:tcPr>
            <w:tcW w:w="1869" w:type="dxa"/>
          </w:tcPr>
          <w:p w14:paraId="4BB37DE0" w14:textId="77777777" w:rsidR="00C81213" w:rsidRPr="002015DF" w:rsidRDefault="00C81213" w:rsidP="005E2EB1">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Прив’язка земель до кластерів розвитку</w:t>
            </w:r>
          </w:p>
        </w:tc>
      </w:tr>
    </w:tbl>
    <w:p w14:paraId="68A5369E" w14:textId="77777777" w:rsidR="00A050BC" w:rsidRPr="00C81213" w:rsidRDefault="00A050BC"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5A46A2BA"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У практиці землевпорядкування інвентаризація здійснюється за єдиною методологічною структурою, що включає підготовчий, польовий, камеральний та аналітичний етапи. На підготовчому етапі здійснюється збір, перевірка й аналіз наявної документації, що містить кадастрові, картографічні, правові, статистичні й архівні дані. Польові роботи передбачають використання геодезичних приладів, </w:t>
      </w:r>
      <w:r w:rsidRPr="002015DF">
        <w:rPr>
          <w:rFonts w:ascii="Times New Roman" w:eastAsia="Calibri" w:hAnsi="Times New Roman" w:cs="Times New Roman"/>
          <w:color w:val="000000"/>
          <w:kern w:val="0"/>
          <w:sz w:val="28"/>
          <w:szCs w:val="28"/>
          <w14:ligatures w14:val="none"/>
        </w:rPr>
        <w:t>аерофотознімків, дистанційного зондування, супутникових даних та GPS/ГЛОНАСС-технологій для визначення фактичного розміщення об’єктів. Камеральна обробка включає систематизацію результатів вимірювань, складання аналітичних матеріалів, оновлення картографічної основи, формування цифрових моделей рельєфу та угідь. На завершальному етапі формуються звіти, аналітичні довідки, реєстраційні документи, які використовуються для прийняття рішень органами місцевого самоврядування, землевпорядними та екологічними структурами, а також у судовій і правозахисній практиці [34, с. 4].</w:t>
      </w:r>
    </w:p>
    <w:p w14:paraId="62DD9E59"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lastRenderedPageBreak/>
        <w:t xml:space="preserve">У регіональному контексті інвентаризація має специфіку, що зумовлена просторово-функціональними характеристиками територій. У сільськогосподарських регіонах акцент зміщується на класифікацію земель за </w:t>
      </w:r>
      <w:r w:rsidRPr="002015DF">
        <w:rPr>
          <w:rFonts w:ascii="Times New Roman" w:eastAsia="Calibri" w:hAnsi="Times New Roman" w:cs="Times New Roman"/>
          <w:color w:val="000000"/>
          <w:kern w:val="0"/>
          <w:sz w:val="28"/>
          <w:szCs w:val="28"/>
          <w14:ligatures w14:val="none"/>
        </w:rPr>
        <w:t>агровиробничими групами, оцінку сільськогосподарської придатності, виявлення резервних і малопродуктивних площ, вивчення структури землекористування сільгосппідприємств і фермерських господарств. У промислових зонах пріоритет надається виявленню порушених, рекультивованих, техногенно забруднених ділянок, оцінці санітарно-захисних зон, перевірці фактичного дотримання природоохоронного законодавства. У міських агломераціях інвентаризація фокусується на функціональному зонуванні, визначенні зон з обмеженим використанням, виявленні невикористаних, занедбаних або забудованих ділянок без оформлених прав, а також аналізі відповідності використання земель містобудівній документації.</w:t>
      </w:r>
    </w:p>
    <w:p w14:paraId="6B10A1EF"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Інвентаризаційна діяльність взаємодіє з інформаційними системами </w:t>
      </w:r>
      <w:r w:rsidRPr="002015DF">
        <w:rPr>
          <w:rFonts w:ascii="Times New Roman" w:eastAsia="Calibri" w:hAnsi="Times New Roman" w:cs="Times New Roman"/>
          <w:color w:val="000000"/>
          <w:kern w:val="0"/>
          <w:sz w:val="28"/>
          <w:szCs w:val="28"/>
          <w14:ligatures w14:val="none"/>
        </w:rPr>
        <w:t>геопросторових даних, що дає змогу забезпечити актуалізацію відомостей у реальному часі, візуалізацію результатів у вигляді цифрових карт, шарів, топографічних планів та індексних схем. Геоінформаційна підтримка інвентаризації забезпечує точність просторового аналізу, можливість багатовекторної класифікації територій, прогнозування сценаріїв розвитку та прийняття рішень, базованих на даних. Сучасні технології, як-от автоматизовані геоаналітичні платформи, дрони для обліку площ, цифрові кадастрові модулі, забезпечують високий рівень достовірності та оперативності інвентаризаційної інформації, що є визначальним чинником для ефективного просторового управління [33, с. 9].</w:t>
      </w:r>
    </w:p>
    <w:p w14:paraId="78213359"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Інвентаризація земель у межах землевпорядного регулювання становить системну просторово-аналітичну процедуру, яка інтегрує правові, технічні, кадастрові й оцінні підходи до обліку земельного фонду. Її зміст розкривається через категоріальне визначення як комплексу організаційно-правових і геоінформаційних дій, спрямованих на виявлення, опис і документальне підтвердження фактичного стану землекористування. У межах науково-</w:t>
      </w:r>
      <w:r w:rsidRPr="002015DF">
        <w:rPr>
          <w:rFonts w:ascii="Times New Roman" w:eastAsia="Calibri" w:hAnsi="Times New Roman" w:cs="Times New Roman"/>
          <w:color w:val="000000"/>
          <w:kern w:val="0"/>
          <w:sz w:val="28"/>
          <w:szCs w:val="28"/>
          <w14:ligatures w14:val="none"/>
        </w:rPr>
        <w:lastRenderedPageBreak/>
        <w:t>методичного підходу інвентаризація розглядається не лише як інструмент збирання первинної інформації, а як база для системної реконструкції структури землеволодінь і землекористування. Вона передбачає ідентифікацію всіх наявних об’єктів земельного фонду з одночасною оцінкою їх відповідності цільовому призначенню, правовому оформленню та фактичному використанню. Завдяки процедурі інвентаризації створюється правова основа для забезпечення прозорості земельних відносин, наповнення та актуалізації даних державного земельного кадастру, а також оптимізації використання просторових ресурсів у межах адміністративно-територіальних утворень [50, с. 5].</w:t>
      </w:r>
    </w:p>
    <w:p w14:paraId="2CBBE255"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Основними завданнями інвентаризації є: фіксація кількісного складу земель за категоріями, угіддями, формами власності й користування; просторове узгодження меж ділянок і виявлення випадків їх накладення або зміщення; встановлення правового статусу кожної земельної одиниці та ідентифікація осіб, що здійснюють володіння або користування неоформленими або </w:t>
      </w:r>
      <w:r w:rsidRPr="002015DF">
        <w:rPr>
          <w:rFonts w:ascii="Times New Roman" w:eastAsia="Calibri" w:hAnsi="Times New Roman" w:cs="Times New Roman"/>
          <w:color w:val="000000"/>
          <w:kern w:val="0"/>
          <w:sz w:val="28"/>
          <w:szCs w:val="28"/>
          <w14:ligatures w14:val="none"/>
        </w:rPr>
        <w:t>суперечливо оформленими ділянками; визначення відповідності фактичного землекористування його функціональному призначенню й дозвільній документації. Зазначені завдання реалізуються шляхом аналізу технічної, картографічної, правової та геодезичної інформації. Інвентаризація охоплює повний цикл верифікації земельної документації, починаючи від встановлення координат меж ділянок за допомогою GNSS-обладнання і закінчуючи формалізацією отриманих даних у межах електронних кадастрових систем. Вона виступає засобом приведення у відповідність фактичних і зареєстрованих параметрів земельного фонду, що унеможливлює дублювання, несанкціоноване використання, надмірну фрагментацію та порушення вимог екологічної ємності територій [3, с. 54].</w:t>
      </w:r>
    </w:p>
    <w:p w14:paraId="3EE69A3D" w14:textId="707711C9"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Інвентаризація функціонує як вихідна база для формування землевпорядних планів, схем використання й охорони земель, стратегій просторового розвитку та зонування. Саме тому її проведення є необхідною передумовою для планомірного і раціонального розподілу земельних ресурсів </w:t>
      </w:r>
      <w:r w:rsidRPr="002015DF">
        <w:rPr>
          <w:rFonts w:ascii="Times New Roman" w:eastAsia="Times New Roman" w:hAnsi="Times New Roman" w:cs="Times New Roman"/>
          <w:color w:val="000000"/>
          <w:kern w:val="0"/>
          <w:sz w:val="28"/>
          <w:szCs w:val="28"/>
          <w14:ligatures w14:val="none"/>
        </w:rPr>
        <w:lastRenderedPageBreak/>
        <w:t xml:space="preserve">між суб’єктами господарювання, населенням, інфраструктурними й </w:t>
      </w:r>
      <w:r w:rsidRPr="002015DF">
        <w:rPr>
          <w:rFonts w:ascii="Times New Roman" w:eastAsia="Calibri" w:hAnsi="Times New Roman" w:cs="Times New Roman"/>
          <w:color w:val="000000"/>
          <w:kern w:val="0"/>
          <w:sz w:val="28"/>
          <w:szCs w:val="28"/>
          <w14:ligatures w14:val="none"/>
        </w:rPr>
        <w:t>екологічними об’єктами. У структурі інструментів просторового планування інвентаризація посідає початкову ланку, забезпечуючи емпіричне підґрунтя для подальшого моделювання та проєктування</w:t>
      </w:r>
      <w:r w:rsidR="00210A26">
        <w:rPr>
          <w:rFonts w:ascii="Times New Roman" w:eastAsia="Calibri" w:hAnsi="Times New Roman" w:cs="Times New Roman"/>
          <w:color w:val="000000"/>
          <w:kern w:val="0"/>
          <w:sz w:val="28"/>
          <w:szCs w:val="28"/>
          <w14:ligatures w14:val="none"/>
        </w:rPr>
        <w:t xml:space="preserve"> (рисунок 1.1)</w:t>
      </w:r>
      <w:r w:rsidRPr="002015DF">
        <w:rPr>
          <w:rFonts w:ascii="Times New Roman" w:eastAsia="Calibri" w:hAnsi="Times New Roman" w:cs="Times New Roman"/>
          <w:color w:val="000000"/>
          <w:kern w:val="0"/>
          <w:sz w:val="28"/>
          <w:szCs w:val="28"/>
          <w14:ligatures w14:val="none"/>
        </w:rPr>
        <w:t>. Вона дозволяє виявити незадіяні, зарезервовані або неефективно використані площі, що є потенційними зонами для перерозподілу чи трансформації функціонального навантаження. Водночас фіксуються порушення умов землекористування: деградація, ерозія, забруднення, порушення цільового призначення, що потребують ревізії землевпорядної документації та реалізації механізмів контролю з боку органів державного нагляду.</w:t>
      </w:r>
    </w:p>
    <w:p w14:paraId="2FB7FB51" w14:textId="77777777" w:rsidR="002015DF" w:rsidRPr="002015DF" w:rsidRDefault="002015DF" w:rsidP="002015DF">
      <w:pPr>
        <w:spacing w:after="0" w:line="360" w:lineRule="auto"/>
        <w:ind w:firstLine="706"/>
        <w:jc w:val="center"/>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noProof/>
          <w:kern w:val="0"/>
          <w:sz w:val="28"/>
          <w:lang w:val="ru-RU" w:eastAsia="ru-RU"/>
          <w14:ligatures w14:val="none"/>
        </w:rPr>
        <w:drawing>
          <wp:inline distT="0" distB="0" distL="0" distR="0" wp14:anchorId="116664F7" wp14:editId="203C0A62">
            <wp:extent cx="5939790" cy="2343150"/>
            <wp:effectExtent l="0" t="0" r="3810" b="0"/>
            <wp:docPr id="32227452" name="Рисунок 7" descr="Зображення, що містить текст, знімок екрана, Шрифт, схема&#10;&#10;Вміст, створений ШІ, може бути неправильни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27452" name="Рисунок 7" descr="Зображення, що містить текст, знімок екрана, Шрифт, схема&#10;&#10;Вміст, створений ШІ, може бути неправильним."/>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2343150"/>
                    </a:xfrm>
                    <a:prstGeom prst="rect">
                      <a:avLst/>
                    </a:prstGeom>
                    <a:noFill/>
                    <a:ln>
                      <a:noFill/>
                    </a:ln>
                  </pic:spPr>
                </pic:pic>
              </a:graphicData>
            </a:graphic>
          </wp:inline>
        </w:drawing>
      </w:r>
    </w:p>
    <w:p w14:paraId="40310E25" w14:textId="77777777" w:rsidR="002015DF" w:rsidRPr="002015DF" w:rsidRDefault="002015DF" w:rsidP="002015DF">
      <w:pPr>
        <w:spacing w:after="0" w:line="360" w:lineRule="auto"/>
        <w:ind w:firstLine="706"/>
        <w:jc w:val="center"/>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Рисунок 1.1 – Роль інвентаризації у просторовому плануванні</w:t>
      </w:r>
    </w:p>
    <w:p w14:paraId="34F8725D"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3A483A38"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Просторово-юридичний компонент інвентаризації полягає у виявленні таких ситуацій, коли межі земельних ділянок не збігаються з межами фактичного користування. Ці розбіжності породжують конфлікти між суміжними землекористувачами, що призводить до накладення меж або втрати частини території. Інвентаризація, здійснювана із застосуванням сучасних геодезичних технологій та супутникової навігації, дозволяє забезпечити високоточне визначення координат поворотних точок меж, що унеможливлює їхню довільну інтерпретацію. У процесі виявлення таких </w:t>
      </w:r>
      <w:r w:rsidRPr="002015DF">
        <w:rPr>
          <w:rFonts w:ascii="Times New Roman" w:eastAsia="Calibri" w:hAnsi="Times New Roman" w:cs="Times New Roman"/>
          <w:color w:val="000000"/>
          <w:kern w:val="0"/>
          <w:sz w:val="28"/>
          <w:szCs w:val="28"/>
          <w14:ligatures w14:val="none"/>
        </w:rPr>
        <w:t xml:space="preserve">невідповідностей вживаються заходи щодо погодження меж, укладення відповідних актів погодження, узгодження з органами місцевого самоврядування, після чого </w:t>
      </w:r>
      <w:r w:rsidRPr="002015DF">
        <w:rPr>
          <w:rFonts w:ascii="Times New Roman" w:eastAsia="Calibri" w:hAnsi="Times New Roman" w:cs="Times New Roman"/>
          <w:color w:val="000000"/>
          <w:kern w:val="0"/>
          <w:sz w:val="28"/>
          <w:szCs w:val="28"/>
          <w14:ligatures w14:val="none"/>
        </w:rPr>
        <w:lastRenderedPageBreak/>
        <w:t>вносяться зміни до кадастрової системи. Таке узгодження меж має вирішальне значення для формування земельного ринку, оскільки жодна земельна ділянка не може бути предметом купівлі-продажу без чітко визначених меж, координат і зареєстрованого правового статусу [36, с. 9].</w:t>
      </w:r>
    </w:p>
    <w:p w14:paraId="7FEE476A"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Інвентаризація є основою для ідентифікації земельних ділянок, що використовуються без правовстановлюючих документів. Такі випадки фіксуються в сільських громадах, у міських околицях, в умовах промислової рекреації, де суб’єкти фактично використовують землю, але не мають належно оформлених прав. У результаті держава не отримує податкових надходжень, органи місцевого самоврядування не можуть планувати ефективне просторове зонування, а самі користувачі не мають юридичного захисту. За допомогою інвентаризації виявляються подібні факти, і на основі їх фіксації </w:t>
      </w:r>
      <w:r w:rsidRPr="002015DF">
        <w:rPr>
          <w:rFonts w:ascii="Times New Roman" w:eastAsia="Calibri" w:hAnsi="Times New Roman" w:cs="Times New Roman"/>
          <w:color w:val="000000"/>
          <w:kern w:val="0"/>
          <w:sz w:val="28"/>
          <w:szCs w:val="28"/>
          <w14:ligatures w14:val="none"/>
        </w:rPr>
        <w:t>ініціюється процедура оформлення документів, що легалізує використання земель. Окремим напрямом є виявлення фактів самовільного зайняття земель - як державної, так і комунальної власності - що є порушенням земельного законодавства і тягне за собою накладення адміністративної або навіть кримінальної відповідальності.</w:t>
      </w:r>
    </w:p>
    <w:p w14:paraId="73369BE0" w14:textId="1AF0FBCC" w:rsid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29F8720A" w14:textId="77777777" w:rsidR="005E2EB1" w:rsidRPr="002015DF" w:rsidRDefault="005E2EB1"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1106CFA6" w14:textId="77777777" w:rsidR="002015DF" w:rsidRPr="002015DF" w:rsidRDefault="002015DF" w:rsidP="002015DF">
      <w:pPr>
        <w:spacing w:after="0" w:line="360" w:lineRule="auto"/>
        <w:ind w:firstLine="706"/>
        <w:jc w:val="both"/>
        <w:outlineLvl w:val="1"/>
        <w:rPr>
          <w:rFonts w:ascii="Times New Roman" w:eastAsia="Calibri" w:hAnsi="Times New Roman" w:cs="Times New Roman"/>
          <w:b/>
          <w:color w:val="000000"/>
          <w:kern w:val="0"/>
          <w:sz w:val="28"/>
          <w:szCs w:val="28"/>
          <w14:ligatures w14:val="none"/>
        </w:rPr>
      </w:pPr>
      <w:bookmarkStart w:id="6" w:name="_Toc194707107"/>
      <w:r w:rsidRPr="002015DF">
        <w:rPr>
          <w:rFonts w:ascii="Times New Roman" w:eastAsia="Times New Roman" w:hAnsi="Times New Roman" w:cs="Times New Roman"/>
          <w:b/>
          <w:color w:val="000000"/>
          <w:kern w:val="0"/>
          <w:sz w:val="28"/>
          <w:szCs w:val="28"/>
          <w14:ligatures w14:val="none"/>
        </w:rPr>
        <w:t xml:space="preserve">1.2 </w:t>
      </w:r>
      <w:r w:rsidRPr="002015DF">
        <w:rPr>
          <w:rFonts w:ascii="Times New Roman" w:eastAsia="Calibri" w:hAnsi="Times New Roman" w:cs="Times New Roman"/>
          <w:b/>
          <w:bCs/>
          <w:color w:val="000000"/>
          <w:kern w:val="0"/>
          <w:sz w:val="28"/>
          <w:szCs w:val="28"/>
          <w14:ligatures w14:val="none"/>
        </w:rPr>
        <w:t>Законодавче забезпечення інвентаризації земель в Україні</w:t>
      </w:r>
      <w:bookmarkEnd w:id="6"/>
    </w:p>
    <w:p w14:paraId="7C8AC45D" w14:textId="77777777" w:rsidR="005E2EB1" w:rsidRDefault="005E2EB1" w:rsidP="002015DF">
      <w:pPr>
        <w:spacing w:after="0" w:line="360" w:lineRule="auto"/>
        <w:ind w:firstLine="706"/>
        <w:jc w:val="both"/>
        <w:rPr>
          <w:rFonts w:ascii="Times New Roman" w:eastAsia="Times New Roman" w:hAnsi="Times New Roman" w:cs="Times New Roman"/>
          <w:color w:val="000000"/>
          <w:kern w:val="0"/>
          <w:sz w:val="28"/>
          <w:szCs w:val="28"/>
          <w14:ligatures w14:val="none"/>
        </w:rPr>
      </w:pPr>
    </w:p>
    <w:p w14:paraId="67773CC3" w14:textId="77777777" w:rsidR="005E2EB1" w:rsidRDefault="005E2EB1" w:rsidP="002015DF">
      <w:pPr>
        <w:spacing w:after="0" w:line="360" w:lineRule="auto"/>
        <w:ind w:firstLine="706"/>
        <w:jc w:val="both"/>
        <w:rPr>
          <w:rFonts w:ascii="Times New Roman" w:eastAsia="Times New Roman" w:hAnsi="Times New Roman" w:cs="Times New Roman"/>
          <w:color w:val="000000"/>
          <w:kern w:val="0"/>
          <w:sz w:val="28"/>
          <w:szCs w:val="28"/>
          <w14:ligatures w14:val="none"/>
        </w:rPr>
      </w:pPr>
    </w:p>
    <w:p w14:paraId="4D58BCBD" w14:textId="729C0BA2"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Законодавче забезпечення інвентаризації земель в Україні базується на комплексі нормативно-правових актів, що встановлюють правові механізми, порядок проведення, повноваження відповідальних суб'єктів та умови використання отриманих даних у межах системи державного управління земельними ресурсами. Центральним документом, що закладає основи правового регулювання інвентаризації, виступає Земельний кодекс України, зокрема статті 35, 37, 79, 186 і розділ VII, де визначено загальні положення про використання, охорону, відведення земель, проведення землеустрою та ведення </w:t>
      </w:r>
      <w:r w:rsidRPr="002015DF">
        <w:rPr>
          <w:rFonts w:ascii="Times New Roman" w:eastAsia="Times New Roman" w:hAnsi="Times New Roman" w:cs="Times New Roman"/>
          <w:color w:val="000000"/>
          <w:kern w:val="0"/>
          <w:sz w:val="28"/>
          <w:szCs w:val="28"/>
          <w14:ligatures w14:val="none"/>
        </w:rPr>
        <w:lastRenderedPageBreak/>
        <w:t xml:space="preserve">державного земельного кадастру. У цих положеннях сформульовано вимогу до обов’язкового обліку фактичного стану землекористування, уточнення меж земельних ділянок, а також оформлення правовстановлюючої документації з метою легалізації прав на землю. Земельний кодекс фіксує необхідність інвентаризації у процесі розмежування державної та комунальної власності, </w:t>
      </w:r>
      <w:r w:rsidRPr="002015DF">
        <w:rPr>
          <w:rFonts w:ascii="Times New Roman" w:eastAsia="Calibri" w:hAnsi="Times New Roman" w:cs="Times New Roman"/>
          <w:color w:val="000000"/>
          <w:kern w:val="0"/>
          <w:sz w:val="28"/>
          <w:szCs w:val="28"/>
          <w14:ligatures w14:val="none"/>
        </w:rPr>
        <w:t>передачі земель у користування, зміни цільового призначення або у разі здійснення державного контролю за використанням і охороною земель. Правові підстави для ініціації інвентаризації можуть виникати також у зв’язку з необхідністю актуалізації даних державного земельного кадастру, усунення розбіжностей у геопросторовій інформації, чи у випадках, коли відсутні відомості про конкретні ділянки в офіційних реєстрах [44, с. 18].</w:t>
      </w:r>
    </w:p>
    <w:p w14:paraId="604D89A8"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Наступним документом є Закон України «Про державний земельний кадастр», що визначає порядок створення, ведення, наповнення та використання кадастрової інформації. У статті 15 цього закону прямо вказується на необхідність проведення інвентаризації земель як одного з джерел надходження первинних відомостей до кадастру. Встановлюється, що результати інвентаризації мають містити відомості про межі ділянок, їх площу, координати поворотних точок, функціональне призначення, категорію земель, правовий статус, обмеження у використанні, а також наявність об'єктів природоохоронного або історико-культурного значення. Усі ці дані повинні бути підготовлені в цифровому вигляді відповідно до формату, затвердженого Кабінетом Міністрів України, та інтегровані до єдиної кадастрової бази даних. Закон вимагає, щоби інвентаризаційна документація мала чітке картографічне відображення результатів з дотриманням метрологічних норм точності, передбачених технічними регламентами [35, с. 3].</w:t>
      </w:r>
    </w:p>
    <w:p w14:paraId="19A6DA8F"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Іншим фундаментальним нормативним актом є Закон України «Про землеустрій», у якому визначено правову природу інвентаризації як одного з видів землеустрою, а саме – спеціалізованого землеустрою, що спрямований на виявлення, систематизацію та правове оформлення земельних ділянок, не охоплених іншими видами обліку. Закон містить перелік видів документації із </w:t>
      </w:r>
      <w:r w:rsidRPr="002015DF">
        <w:rPr>
          <w:rFonts w:ascii="Times New Roman" w:eastAsia="Times New Roman" w:hAnsi="Times New Roman" w:cs="Times New Roman"/>
          <w:color w:val="000000"/>
          <w:kern w:val="0"/>
          <w:sz w:val="28"/>
          <w:szCs w:val="28"/>
          <w14:ligatures w14:val="none"/>
        </w:rPr>
        <w:lastRenderedPageBreak/>
        <w:t xml:space="preserve">землеустрою, у тому числі документацію з інвентаризації земель, а також встановлює вимоги до структури, змісту, порядку погодження й затвердження цієї документації. У законі передбачено, що ініціаторами інвентаризаційних робіт можуть бути як органи виконавчої влади, так і місцевого самоврядування, </w:t>
      </w:r>
      <w:r w:rsidRPr="002015DF">
        <w:rPr>
          <w:rFonts w:ascii="Times New Roman" w:eastAsia="Calibri" w:hAnsi="Times New Roman" w:cs="Times New Roman"/>
          <w:color w:val="000000"/>
          <w:kern w:val="0"/>
          <w:sz w:val="28"/>
          <w:szCs w:val="28"/>
          <w14:ligatures w14:val="none"/>
        </w:rPr>
        <w:t>а також фізичні або юридичні особи – власники чи користувачі земельних ділянок, зацікавлені в уточненні правового статусу земель.</w:t>
      </w:r>
    </w:p>
    <w:p w14:paraId="311B6256"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Серед підзаконних нормативних актів провідне місце займає Постанова Кабінету Міністрів України № 1118 від 23 листопада 2011 року «Про затвердження Порядку проведення інвентаризації земель». Цей документ регламентує покрокову процедуру організації, здійснення й оформлення результатів інвентаризації земель. У постанові зазначено, що інвентаризація проводиться з метою виявлення невитребуваних паїв, неоформлених землекористувань, уточнення меж адміністративно-територіальних одиниць, забезпечення актуальності кадастрових відомостей. Порядок деталізує етапи інвентаризації: формування технічного завдання, підготовчі роботи, геодезичні вимірювання, камеральна обробка, складання документації, погодження з відповідними органами, затвердження та передача результатів до державного кадастру. Передбачено, що роботи мають здійснюватися суб’єктами господарювання, які мають відповідну ліцензію, сертифікованих інженерів-землевпорядників, технічне забезпечення й досвід реалізації </w:t>
      </w:r>
      <w:r w:rsidRPr="002015DF">
        <w:rPr>
          <w:rFonts w:ascii="Times New Roman" w:eastAsia="Calibri" w:hAnsi="Times New Roman" w:cs="Times New Roman"/>
          <w:color w:val="000000"/>
          <w:kern w:val="0"/>
          <w:sz w:val="28"/>
          <w:szCs w:val="28"/>
          <w14:ligatures w14:val="none"/>
        </w:rPr>
        <w:t>землеупорядних проєктів [42, с. 164].</w:t>
      </w:r>
    </w:p>
    <w:p w14:paraId="0298548A"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Контроль за дотриманням порядку інвентаризації, відповідності її результатів нормам земельного законодавства покладено на Державну службу України з питань геодезії, картографії та кадастру (</w:t>
      </w:r>
      <w:r w:rsidRPr="002015DF">
        <w:rPr>
          <w:rFonts w:ascii="Times New Roman" w:eastAsia="Calibri" w:hAnsi="Times New Roman" w:cs="Times New Roman"/>
          <w:color w:val="000000"/>
          <w:kern w:val="0"/>
          <w:sz w:val="28"/>
          <w:szCs w:val="28"/>
          <w14:ligatures w14:val="none"/>
        </w:rPr>
        <w:t xml:space="preserve">Держгеокадастр), яка виконує функції координування, перевірки, технічного прийняття та верифікації кадастрових даних. У межах своєї компетенції Держгеокадастр забезпечує методичний супровід інвентаризації, розробляє шаблони технічних завдань, стандарти картографування, геоінформаційні формати, а також адмініструє доступ до автоматизованої системи державного земельного кадастру. До функціоналу служби входить також ведення реєстрів, контроль за </w:t>
      </w:r>
      <w:r w:rsidRPr="002015DF">
        <w:rPr>
          <w:rFonts w:ascii="Times New Roman" w:eastAsia="Calibri" w:hAnsi="Times New Roman" w:cs="Times New Roman"/>
          <w:color w:val="000000"/>
          <w:kern w:val="0"/>
          <w:sz w:val="28"/>
          <w:szCs w:val="28"/>
          <w14:ligatures w14:val="none"/>
        </w:rPr>
        <w:lastRenderedPageBreak/>
        <w:t>внесенням записів, проведення аудитів результатів інвентаризації в разі виникнення спірних ситуацій. У випадках виявлення порушень з боку виконавців інвентаризаційних робіт Держгеокадастр може ініціювати припинення їхньої ліцензії, виключення з переліку уповноважених суб’єктів, а також звернення до суду [16, с. 7].</w:t>
      </w:r>
    </w:p>
    <w:p w14:paraId="28EFD6B3"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Органи місцевого самоврядування, зокрема сільські, селищні та міські ради, наділені повноваженнями щодо ініціювання та фінансування інвентаризації земель, що перебувають у межах їхньої територіальної юрисдикції. Вони мають право приймати рішення про проведення інвентаризації, затверджувати технічні завдання, оголошувати відкриті конкурси на залучення виконавців робіт, погоджувати та затверджувати результати інвентаризації, передавати документи до державного кадастру, а також інформувати населення про зміни, що відбуваються у сфері землекористування. У процесі інвентаризації вони здійснюють погодження меж, забезпечують доступ до архівних матеріалів, приймають участь у врегулюванні конфліктних ситуацій, пов’язаних з правами на землю, і, в разі потреби, розглядають пропозиції щодо зміни статусу земельних ділянок. Вони відповідають за організацію громадського обговорення результатів інвентаризації, якщо вона стосується значних територіальних утворень або включає зони з особливим статусом.</w:t>
      </w:r>
    </w:p>
    <w:p w14:paraId="140C5D16"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Усі нормативно-правові акти, що регламентують інвентаризацію, функціонують у тісному взаємозв’язку з іншими законодавчими галузями: податковим кодексом, законом «Про оренду землі», законом «Про оцінку земель», законом «Про містобудівну діяльність», екологічним та водним законодавством. Таке поєднання дозволяє враховувати комплексну природу земельних ресурсів, які є не лише об’єктом власності, але й територіальною базою для всіх видів господарської, соціальної, транспортної та екологічної діяльності. У результаті створюється узгоджена правова архітектоніка, в межах якої інвентаризація виконує функцію зв’язувального елемента між </w:t>
      </w:r>
      <w:r w:rsidRPr="002015DF">
        <w:rPr>
          <w:rFonts w:ascii="Times New Roman" w:eastAsia="Calibri" w:hAnsi="Times New Roman" w:cs="Times New Roman"/>
          <w:color w:val="000000"/>
          <w:kern w:val="0"/>
          <w:sz w:val="28"/>
          <w:szCs w:val="28"/>
          <w14:ligatures w14:val="none"/>
        </w:rPr>
        <w:lastRenderedPageBreak/>
        <w:t>геопросторовою реальністю й юридичною документацією, між фактичним станом використання і стратегічним плануванням [48, с. 34].</w:t>
      </w:r>
    </w:p>
    <w:p w14:paraId="395BC71F"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Законодавче регулювання інвентаризації земель в Україні охоплює чітко визначену нормативну послідовність дій, пов’язаних з ініціюванням, організацією, фінансуванням, здійсненням і затвердженням результатів цієї процедури, що виступає інструментом формування упорядкованої системи </w:t>
      </w:r>
      <w:r w:rsidRPr="002015DF">
        <w:rPr>
          <w:rFonts w:ascii="Times New Roman" w:eastAsia="Calibri" w:hAnsi="Times New Roman" w:cs="Times New Roman"/>
          <w:color w:val="000000"/>
          <w:kern w:val="0"/>
          <w:sz w:val="28"/>
          <w:szCs w:val="28"/>
          <w14:ligatures w14:val="none"/>
        </w:rPr>
        <w:t>землекористування на території держави. Порядок ініціації інвентаризаційних робіт обумовлений компетенцією суб’єктів публічного управління, функціональним статусом територій, характером прав на землю, структурою земельного фонду та потребами просторового планування. Відповідно до чинного законодавства, зокрема норм Земельного кодексу України, Закону «Про землеустрій» і постанови Кабінету Міністрів №1118, ініціаторами інвентаризації можуть виступати органи державної виконавчої влади, органи місцевого самоврядування, власники, землекористувачі, а також суб’єкти господарювання в межах своїх повноважень. Правові підстави для ініціювання інвентаризації формуються у разі виявлення невідповідності фактичного землекористування даним державного земельного кадастру, при необхідності уточнення правового статусу земельної ділянки, під час формування нових кадастрових об'єктів, а також при переході права власності або підготовці територій до трансформації функціонального призначення. Органи місцевого самоврядування, як суб’єкти публічного адміністрування, мають право самостійно приймати рішення про початок інвентаризаційних процедур у межах підпорядкованої їм адміністративної території на підставі оцінки потреб у просторовому упорядкуванні, виявленні «білих плям» у кадастрі, юридичної неоформленості земельних ділянок, необхідності перевірки відповідності фактичного стану землекористування чинній містобудівній документації [20, с. 5].</w:t>
      </w:r>
    </w:p>
    <w:p w14:paraId="10F2B799"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Рішення про проведення інвентаризації приймається у формі відповідного розпорядчого акту: для органів виконавчої влади - це наказ, для органів місцевого самоврядування - рішення ради або розпорядження голови. У цьому </w:t>
      </w:r>
      <w:r w:rsidRPr="002015DF">
        <w:rPr>
          <w:rFonts w:ascii="Times New Roman" w:eastAsia="Times New Roman" w:hAnsi="Times New Roman" w:cs="Times New Roman"/>
          <w:color w:val="000000"/>
          <w:kern w:val="0"/>
          <w:sz w:val="28"/>
          <w:szCs w:val="28"/>
          <w14:ligatures w14:val="none"/>
        </w:rPr>
        <w:lastRenderedPageBreak/>
        <w:t xml:space="preserve">документі мають бути чітко зазначені правові підстави, географічні межі проведення інвентаризації, обсяги робіт, очікуваний результат, відповідальні виконавці, а також джерело фінансування. Наступним етапом є формування технічного завдання, яке складається з опису земельної ділянки чи масиву, цілей обстеження, вимог до точності геодезичних вимірювань, обсягу польових і камеральних робіт, формату картографічних матеріалів, строків виконання, порядку погодження, структури звітності. Технічне завдання погоджується </w:t>
      </w:r>
      <w:r w:rsidRPr="002015DF">
        <w:rPr>
          <w:rFonts w:ascii="Times New Roman" w:eastAsia="Calibri" w:hAnsi="Times New Roman" w:cs="Times New Roman"/>
          <w:color w:val="000000"/>
          <w:kern w:val="0"/>
          <w:sz w:val="28"/>
          <w:szCs w:val="28"/>
          <w14:ligatures w14:val="none"/>
        </w:rPr>
        <w:t>замовником та виконавцем, після чого є офіційною підставою для початку робіт. Важливим елементом є укладення договору між замовником та суб’єктом господарювання, який має відповідну ліцензію та сертифікованих інженерів-землевпорядників. Всі роботи здійснюються відповідно до затверджених державних стандартів, нормативно-технічної документації, методичних рекомендацій Держгеокадастру та положень про електронний облік просторових даних.</w:t>
      </w:r>
    </w:p>
    <w:p w14:paraId="4A7A190F"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Фінансування інвентаризаційних робіт регламентується положеннями Бюджетного кодексу України та спеціальними нормами земельного законодавства, згідно з якими джерелами можуть виступати кошти державного та місцевих бюджетів, надходження від оренди земель, цільові екологічні фонди, грантові програми, кошти власників і землекористувачів, інвестиційні джерела або ж субвенції з бюджету вищого рівня. У разі, коли ініціатором виступає орган місцевого самоврядування, відповідне фінансування включається до програми соціально-економічного розвитку громади, де зазначаються обсяг коштів, об'єкти фінансування, строки реалізації, звітні документи [1, с. 94].</w:t>
      </w:r>
    </w:p>
    <w:p w14:paraId="4920424B"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Якщо інвентаризація проводиться за рахунок суб’єктів приватного сектора - юридичних або фізичних осіб, зацікавлених у легалізації прав на землю або актуалізації кадастрових відомостей, порядок фінансування узгоджується в межах договору на виконання робіт. Витрати включають польові вимірювання, обробку результатів, складання документації, погодження, виготовлення картографічних матеріалів і подання їх до кадастру. </w:t>
      </w:r>
      <w:r w:rsidRPr="002015DF">
        <w:rPr>
          <w:rFonts w:ascii="Times New Roman" w:eastAsia="Times New Roman" w:hAnsi="Times New Roman" w:cs="Times New Roman"/>
          <w:color w:val="000000"/>
          <w:kern w:val="0"/>
          <w:sz w:val="28"/>
          <w:szCs w:val="28"/>
          <w14:ligatures w14:val="none"/>
        </w:rPr>
        <w:lastRenderedPageBreak/>
        <w:t xml:space="preserve">За участі держави можлива реалізація інвентаризаційних заходів у рамках національних програм, зокрема в межах реалізації Стратегії сталого розвитку, земельної децентралізації, </w:t>
      </w:r>
      <w:r w:rsidRPr="002015DF">
        <w:rPr>
          <w:rFonts w:ascii="Times New Roman" w:eastAsia="Calibri" w:hAnsi="Times New Roman" w:cs="Times New Roman"/>
          <w:color w:val="000000"/>
          <w:kern w:val="0"/>
          <w:sz w:val="28"/>
          <w:szCs w:val="28"/>
          <w14:ligatures w14:val="none"/>
        </w:rPr>
        <w:t>проєктів міжнародної технічної допомоги [51, с. 3].</w:t>
      </w:r>
    </w:p>
    <w:p w14:paraId="759C1C06" w14:textId="77777777" w:rsidR="002015DF" w:rsidRPr="002015DF" w:rsidRDefault="002015DF" w:rsidP="00AB3BD6">
      <w:pPr>
        <w:spacing w:after="0" w:line="360" w:lineRule="auto"/>
        <w:ind w:firstLine="709"/>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Після завершення технічного етапу інвентаризації виконавець подає сформовані матеріали замовнику для первинного погодження. До складу документації входять графічні матеріали з фіксацією меж земельних ділянок, координати поворотних точок, опис функціонального використання, інформація про наявність інженерної інфраструктури, охоронних об’єктів, обмежень у </w:t>
      </w:r>
      <w:r w:rsidRPr="002015DF">
        <w:rPr>
          <w:rFonts w:ascii="Times New Roman" w:eastAsia="Calibri" w:hAnsi="Times New Roman" w:cs="Times New Roman"/>
          <w:color w:val="000000"/>
          <w:kern w:val="0"/>
          <w:sz w:val="28"/>
          <w:szCs w:val="28"/>
          <w14:ligatures w14:val="none"/>
        </w:rPr>
        <w:t>використанні. Документація має відповідати вимогам до масштабу, точності, умовного оформлення, визначених у нормативно-технічних регламентах. У разі позитивної оцінки матеріали подаються до відповідного органу, уповноваженого на їх затвердження. На національному рівні такими органами виступають територіальні підрозділи Держгеокадастру, які здійснюють верифікацію даних, технічний контроль, оцінку відповідності геопросторових координат, співставлення з наявними відомостями в системі кадастру, а також перевірку юридичної обґрунтованості пропозицій щодо правового статусу ділянок. У разі затвердження матеріалів видається відповідне рішення або наказ, що є юридичною підставою для внесення змін до кадастрової бази, оновлення публічної кадастрової карти, оформлення прав власності або користування, визначення обмежень та сервітутів.</w:t>
      </w:r>
    </w:p>
    <w:p w14:paraId="00EBF7C9" w14:textId="7A8D3172" w:rsidR="002015DF" w:rsidRDefault="002015DF" w:rsidP="00AB3BD6">
      <w:pPr>
        <w:spacing w:after="0" w:line="360" w:lineRule="auto"/>
        <w:ind w:firstLine="709"/>
        <w:jc w:val="both"/>
        <w:rPr>
          <w:rFonts w:ascii="Times New Roman" w:eastAsia="Calibri" w:hAnsi="Times New Roman" w:cs="Times New Roman"/>
          <w:color w:val="000000"/>
          <w:kern w:val="0"/>
          <w:sz w:val="28"/>
          <w:szCs w:val="28"/>
          <w14:ligatures w14:val="none"/>
        </w:rPr>
      </w:pPr>
    </w:p>
    <w:p w14:paraId="15AED894" w14:textId="77777777" w:rsidR="00AB3BD6" w:rsidRPr="002015DF" w:rsidRDefault="00AB3BD6" w:rsidP="00AB3BD6">
      <w:pPr>
        <w:spacing w:after="0" w:line="360" w:lineRule="auto"/>
        <w:ind w:firstLine="709"/>
        <w:jc w:val="both"/>
        <w:rPr>
          <w:rFonts w:ascii="Times New Roman" w:eastAsia="Calibri" w:hAnsi="Times New Roman" w:cs="Times New Roman"/>
          <w:color w:val="000000"/>
          <w:kern w:val="0"/>
          <w:sz w:val="28"/>
          <w:szCs w:val="28"/>
          <w14:ligatures w14:val="none"/>
        </w:rPr>
      </w:pPr>
    </w:p>
    <w:p w14:paraId="778D992E" w14:textId="77777777" w:rsidR="002015DF" w:rsidRPr="002015DF" w:rsidRDefault="002015DF" w:rsidP="00AB3BD6">
      <w:pPr>
        <w:spacing w:after="0" w:line="360" w:lineRule="auto"/>
        <w:ind w:firstLine="709"/>
        <w:jc w:val="both"/>
        <w:outlineLvl w:val="1"/>
        <w:rPr>
          <w:rFonts w:ascii="Times New Roman" w:eastAsia="Calibri" w:hAnsi="Times New Roman" w:cs="Times New Roman"/>
          <w:b/>
          <w:color w:val="000000"/>
          <w:kern w:val="0"/>
          <w:sz w:val="28"/>
          <w:szCs w:val="28"/>
          <w14:ligatures w14:val="none"/>
        </w:rPr>
      </w:pPr>
      <w:bookmarkStart w:id="7" w:name="_Toc194707108"/>
      <w:r w:rsidRPr="002015DF">
        <w:rPr>
          <w:rFonts w:ascii="Times New Roman" w:eastAsia="Times New Roman" w:hAnsi="Times New Roman" w:cs="Times New Roman"/>
          <w:b/>
          <w:color w:val="000000"/>
          <w:kern w:val="0"/>
          <w:sz w:val="28"/>
          <w:szCs w:val="28"/>
          <w14:ligatures w14:val="none"/>
        </w:rPr>
        <w:t xml:space="preserve">1.3 </w:t>
      </w:r>
      <w:r w:rsidRPr="002015DF">
        <w:rPr>
          <w:rFonts w:ascii="Times New Roman" w:eastAsia="Calibri" w:hAnsi="Times New Roman" w:cs="Times New Roman"/>
          <w:b/>
          <w:bCs/>
          <w:color w:val="000000"/>
          <w:kern w:val="0"/>
          <w:sz w:val="28"/>
          <w:szCs w:val="28"/>
          <w14:ligatures w14:val="none"/>
        </w:rPr>
        <w:t>Роль інвентаризації у формуванні стратегії раціонального використання земельних ресурсів</w:t>
      </w:r>
      <w:bookmarkEnd w:id="7"/>
    </w:p>
    <w:p w14:paraId="6A7C9373" w14:textId="77777777" w:rsidR="00AB3BD6" w:rsidRDefault="00AB3BD6" w:rsidP="00AB3BD6">
      <w:pPr>
        <w:spacing w:after="0" w:line="360" w:lineRule="auto"/>
        <w:ind w:firstLine="709"/>
        <w:jc w:val="both"/>
        <w:rPr>
          <w:rFonts w:ascii="Times New Roman" w:eastAsia="Times New Roman" w:hAnsi="Times New Roman" w:cs="Times New Roman"/>
          <w:color w:val="000000"/>
          <w:kern w:val="0"/>
          <w:sz w:val="28"/>
          <w:szCs w:val="28"/>
          <w14:ligatures w14:val="none"/>
        </w:rPr>
      </w:pPr>
    </w:p>
    <w:p w14:paraId="2F247873" w14:textId="77777777" w:rsidR="00AB3BD6" w:rsidRDefault="00AB3BD6" w:rsidP="00AB3BD6">
      <w:pPr>
        <w:spacing w:after="0" w:line="360" w:lineRule="auto"/>
        <w:ind w:firstLine="709"/>
        <w:jc w:val="both"/>
        <w:rPr>
          <w:rFonts w:ascii="Times New Roman" w:eastAsia="Times New Roman" w:hAnsi="Times New Roman" w:cs="Times New Roman"/>
          <w:color w:val="000000"/>
          <w:kern w:val="0"/>
          <w:sz w:val="28"/>
          <w:szCs w:val="28"/>
          <w14:ligatures w14:val="none"/>
        </w:rPr>
      </w:pPr>
    </w:p>
    <w:p w14:paraId="0E3A7EA3" w14:textId="61A737E2" w:rsidR="002015DF" w:rsidRPr="002015DF" w:rsidRDefault="002015DF" w:rsidP="00AB3BD6">
      <w:pPr>
        <w:spacing w:after="0" w:line="360" w:lineRule="auto"/>
        <w:ind w:firstLine="709"/>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Інвентаризація земель становить фундаментальну основу для формування стратегій раціонального використання земельних ресурсів, оскільки її результати акумулюють структуровану інформацію про просторові, правові, функціональні та якісні характеристики землекористування. З огляду на </w:t>
      </w:r>
      <w:r w:rsidRPr="002015DF">
        <w:rPr>
          <w:rFonts w:ascii="Times New Roman" w:eastAsia="Times New Roman" w:hAnsi="Times New Roman" w:cs="Times New Roman"/>
          <w:color w:val="000000"/>
          <w:kern w:val="0"/>
          <w:sz w:val="28"/>
          <w:szCs w:val="28"/>
          <w14:ligatures w14:val="none"/>
        </w:rPr>
        <w:lastRenderedPageBreak/>
        <w:t xml:space="preserve">трансформаційні процеси в земельних відносинах, викликані децентралізацією, дерегуляцією, </w:t>
      </w:r>
      <w:r w:rsidRPr="002015DF">
        <w:rPr>
          <w:rFonts w:ascii="Times New Roman" w:eastAsia="Calibri" w:hAnsi="Times New Roman" w:cs="Times New Roman"/>
          <w:color w:val="000000"/>
          <w:kern w:val="0"/>
          <w:sz w:val="28"/>
          <w:szCs w:val="28"/>
          <w14:ligatures w14:val="none"/>
        </w:rPr>
        <w:t>цифровізацією управління та впровадженням ринку землі, потреба в достовірних, повних і актуальних інвентаризаційних даних набуває першочергового значення. Саме інвентаризація забезпечує об’єктивне відображення фактичного стану земельного фонду, виявляє дисбаланси між зареєстрованими та реально використовуваними ділянками, фіксує ступінь освоєності територій, дозволяє визначити просторові резерви, верифікувати інформацію кадастрових систем, усунути дублювання та невідповідності в межах публічної геоінформаційної бази. Повнота та деталізація інвентаризаційних даних безпосередньо впливають на ефективність планування - як у короткостроковій, так і в довгостроковій перспективі - адже саме на підставі цієї інформації формуються рішення про функціональне зонування, розвиток інженерної, транспортної та соціальної інфраструктури, визначення зон з обмеженнями у використанні, охоронного статусу або рекреаційної придатності [12, с. 3].</w:t>
      </w:r>
    </w:p>
    <w:p w14:paraId="7518FB11" w14:textId="7FC39B5E"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Планування землекористування неможливе без комплексного уявлення про поточне функціональне навантаження території, конфігурацію існуючого землеволодіння, фактичне призначення ділянок, наявність правових обмежень, санітарно-захисних зон, прибережних смуг, охоронних територій, деградованих чи забруднених масивів. Інвентаризація дозволяє зібрати ці дані в єдиному форматі з точними </w:t>
      </w:r>
      <w:r w:rsidRPr="002015DF">
        <w:rPr>
          <w:rFonts w:ascii="Times New Roman" w:eastAsia="Calibri" w:hAnsi="Times New Roman" w:cs="Times New Roman"/>
          <w:color w:val="000000"/>
          <w:kern w:val="0"/>
          <w:sz w:val="28"/>
          <w:szCs w:val="28"/>
          <w14:ligatures w14:val="none"/>
        </w:rPr>
        <w:t xml:space="preserve">геопросторовими координатами, картографічним відображенням та атрибутивним супроводом, що включає інформацію про площу, власника або користувача, категорію земель, угіддя, цільове призначення, наявність обмежень та сервітутів. Саме така структура даних дозволяє забезпечити якісну аналітику щодо ефективності використання ресурсів, співставлення потенційного і фактичного навантаження, прогнозування варіантів трансформації функціонального призначення, а також створення сценаріїв просторового розвитку з урахуванням екологічної ємності територій. Повнота інвентаризаційних матеріалів є детермінантою якості планування, оскільки за відсутності об'єктивних даних ухвалення будь-якого </w:t>
      </w:r>
      <w:r w:rsidRPr="002015DF">
        <w:rPr>
          <w:rFonts w:ascii="Times New Roman" w:eastAsia="Calibri" w:hAnsi="Times New Roman" w:cs="Times New Roman"/>
          <w:color w:val="000000"/>
          <w:kern w:val="0"/>
          <w:sz w:val="28"/>
          <w:szCs w:val="28"/>
          <w14:ligatures w14:val="none"/>
        </w:rPr>
        <w:lastRenderedPageBreak/>
        <w:t>планового рішення буде ґрунтуватися на припущеннях або застарілій інформації, що тягне за собою неефективне освоєння території, дублювання інфраструктури, нераціональне використання коштів і конфлікти землекористувачів</w:t>
      </w:r>
      <w:r w:rsidR="00AB3BD6">
        <w:rPr>
          <w:rFonts w:ascii="Times New Roman" w:eastAsia="Calibri" w:hAnsi="Times New Roman" w:cs="Times New Roman"/>
          <w:color w:val="000000"/>
          <w:kern w:val="0"/>
          <w:sz w:val="28"/>
          <w:szCs w:val="28"/>
          <w14:ligatures w14:val="none"/>
        </w:rPr>
        <w:t xml:space="preserve"> (рисунок 1.2) </w:t>
      </w:r>
      <w:r w:rsidRPr="002015DF">
        <w:rPr>
          <w:rFonts w:ascii="Times New Roman" w:eastAsia="Calibri" w:hAnsi="Times New Roman" w:cs="Times New Roman"/>
          <w:color w:val="000000"/>
          <w:kern w:val="0"/>
          <w:sz w:val="28"/>
          <w:szCs w:val="28"/>
          <w14:ligatures w14:val="none"/>
        </w:rPr>
        <w:t>[41, с. 6].</w:t>
      </w:r>
    </w:p>
    <w:p w14:paraId="5A64C2CB" w14:textId="77777777" w:rsidR="002015DF" w:rsidRPr="002015DF" w:rsidRDefault="002015DF" w:rsidP="002015DF">
      <w:pPr>
        <w:spacing w:after="0" w:line="360" w:lineRule="auto"/>
        <w:ind w:firstLine="706"/>
        <w:jc w:val="center"/>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noProof/>
          <w:kern w:val="0"/>
          <w:sz w:val="28"/>
          <w:lang w:val="ru-RU" w:eastAsia="ru-RU"/>
          <w14:ligatures w14:val="none"/>
        </w:rPr>
        <w:drawing>
          <wp:inline distT="0" distB="0" distL="0" distR="0" wp14:anchorId="3A672359" wp14:editId="21C3EDB1">
            <wp:extent cx="3909284" cy="3434937"/>
            <wp:effectExtent l="0" t="0" r="0" b="0"/>
            <wp:docPr id="950573464" name="Рисунок 10" descr="Зображення, що містить електроніка, текст, компактний диск, коло&#10;&#10;Вміст, створений ШІ, може бути неправильни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573464" name="Рисунок 10" descr="Зображення, що містить електроніка, текст, компактний диск, коло&#10;&#10;Вміст, створений ШІ, може бути неправильним."/>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068" cy="3438262"/>
                    </a:xfrm>
                    <a:prstGeom prst="rect">
                      <a:avLst/>
                    </a:prstGeom>
                    <a:noFill/>
                    <a:ln>
                      <a:noFill/>
                    </a:ln>
                  </pic:spPr>
                </pic:pic>
              </a:graphicData>
            </a:graphic>
          </wp:inline>
        </w:drawing>
      </w:r>
    </w:p>
    <w:p w14:paraId="6691DD41"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Рисунок 1.2 – Компоненти ефективного планування землекористування</w:t>
      </w:r>
    </w:p>
    <w:p w14:paraId="04E1FBF4"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6C8B8459" w14:textId="1AAB00C9"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Інвентаризація є інструментом виявлення просторових резервів, які можуть бути використані для реалізації </w:t>
      </w:r>
      <w:r w:rsidRPr="002015DF">
        <w:rPr>
          <w:rFonts w:ascii="Times New Roman" w:eastAsia="Calibri" w:hAnsi="Times New Roman" w:cs="Times New Roman"/>
          <w:color w:val="000000"/>
          <w:kern w:val="0"/>
          <w:sz w:val="28"/>
          <w:szCs w:val="28"/>
          <w14:ligatures w14:val="none"/>
        </w:rPr>
        <w:t xml:space="preserve">проєктів територіального розвитку - зокрема розміщення нових житлових кварталів, логістичних центрів, промислових зон, об'єктів соціальної сфери, екологічних коридорів, рекреаційної інфраструктури. У процесі аналізу інвентаризаційних даних ідентифікуються вільні, невикористані або малоефективно використані ділянки, встановлюється рівень їхньої придатності до тієї чи іншої функції, враховується віддаленість від транспортних артерій, комунікацій, джерел енергії, водопостачання, об'єктів обслуговування населення. Це дозволяє здійснювати пріоритезацію напрямів використання таких земель відповідно до стратегічних планів ОТГ, обласних програм просторового розвитку, генпланів і схем планування територій. Узагальнення результатів інвентаризації у формі картографічних шарів, матриць сумісності, багатошарових геоінформаційних </w:t>
      </w:r>
      <w:r w:rsidRPr="002015DF">
        <w:rPr>
          <w:rFonts w:ascii="Times New Roman" w:eastAsia="Calibri" w:hAnsi="Times New Roman" w:cs="Times New Roman"/>
          <w:color w:val="000000"/>
          <w:kern w:val="0"/>
          <w:sz w:val="28"/>
          <w:szCs w:val="28"/>
          <w14:ligatures w14:val="none"/>
        </w:rPr>
        <w:lastRenderedPageBreak/>
        <w:t>моделей дозволяє поєднати екологічні, соціальні та економічні параметри при виборі пріоритетів використання земельного фонду</w:t>
      </w:r>
      <w:r w:rsidR="00AB3BD6">
        <w:rPr>
          <w:rFonts w:ascii="Times New Roman" w:eastAsia="Calibri" w:hAnsi="Times New Roman" w:cs="Times New Roman"/>
          <w:color w:val="000000"/>
          <w:kern w:val="0"/>
          <w:sz w:val="28"/>
          <w:szCs w:val="28"/>
          <w14:ligatures w14:val="none"/>
        </w:rPr>
        <w:t xml:space="preserve"> (таблиця 1.2)</w:t>
      </w:r>
      <w:r w:rsidRPr="002015DF">
        <w:rPr>
          <w:rFonts w:ascii="Times New Roman" w:eastAsia="Calibri" w:hAnsi="Times New Roman" w:cs="Times New Roman"/>
          <w:color w:val="000000"/>
          <w:kern w:val="0"/>
          <w:sz w:val="28"/>
          <w:szCs w:val="28"/>
          <w14:ligatures w14:val="none"/>
        </w:rPr>
        <w:t xml:space="preserve"> [9, с. 11].</w:t>
      </w:r>
    </w:p>
    <w:p w14:paraId="3F6139D3" w14:textId="77777777" w:rsidR="002015DF" w:rsidRPr="00C81213"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53821888" w14:textId="77777777" w:rsidR="00A050BC" w:rsidRDefault="00A050BC">
      <w:pPr>
        <w:spacing w:line="360" w:lineRule="auto"/>
        <w:ind w:firstLine="706"/>
        <w:rPr>
          <w:rFonts w:ascii="Times New Roman" w:eastAsia="Calibri" w:hAnsi="Times New Roman" w:cs="Times New Roman"/>
          <w:color w:val="000000"/>
          <w:kern w:val="0"/>
          <w:sz w:val="28"/>
          <w:szCs w:val="28"/>
          <w14:ligatures w14:val="none"/>
        </w:rPr>
      </w:pPr>
      <w:r>
        <w:rPr>
          <w:rFonts w:ascii="Times New Roman" w:eastAsia="Times New Roman" w:hAnsi="Times New Roman" w:cs="Times New Roman"/>
          <w:color w:val="000000"/>
          <w:kern w:val="0"/>
          <w:sz w:val="28"/>
          <w:szCs w:val="28"/>
          <w14:ligatures w14:val="none"/>
        </w:rPr>
        <w:br w:type="page"/>
      </w:r>
    </w:p>
    <w:p w14:paraId="0FF43849" w14:textId="553453DD" w:rsidR="002015DF" w:rsidRPr="002015DF" w:rsidRDefault="002015DF" w:rsidP="002015DF">
      <w:pPr>
        <w:spacing w:after="0" w:line="360" w:lineRule="auto"/>
        <w:ind w:firstLine="706"/>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lastRenderedPageBreak/>
        <w:t>Таблиця 1.2 – Інвентаризація як механізм виявлення просторових резервів і планування розвитку територій</w:t>
      </w:r>
    </w:p>
    <w:tbl>
      <w:tblPr>
        <w:tblStyle w:val="ae"/>
        <w:tblW w:w="0" w:type="auto"/>
        <w:tblLook w:val="04A0" w:firstRow="1" w:lastRow="0" w:firstColumn="1" w:lastColumn="0" w:noHBand="0" w:noVBand="1"/>
      </w:tblPr>
      <w:tblGrid>
        <w:gridCol w:w="1904"/>
        <w:gridCol w:w="1983"/>
        <w:gridCol w:w="1743"/>
        <w:gridCol w:w="1806"/>
        <w:gridCol w:w="2419"/>
      </w:tblGrid>
      <w:tr w:rsidR="00C81213" w:rsidRPr="002015DF" w14:paraId="13348401" w14:textId="77777777" w:rsidTr="00CD4D98">
        <w:tc>
          <w:tcPr>
            <w:tcW w:w="1868" w:type="dxa"/>
          </w:tcPr>
          <w:p w14:paraId="5D232366"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Об’єкт аналізу</w:t>
            </w:r>
          </w:p>
        </w:tc>
        <w:tc>
          <w:tcPr>
            <w:tcW w:w="1869" w:type="dxa"/>
          </w:tcPr>
          <w:p w14:paraId="2811F971"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Критерії оцінювання придатності земель</w:t>
            </w:r>
          </w:p>
        </w:tc>
        <w:tc>
          <w:tcPr>
            <w:tcW w:w="1869" w:type="dxa"/>
          </w:tcPr>
          <w:p w14:paraId="549B216B"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Потенційні напрями використання</w:t>
            </w:r>
          </w:p>
        </w:tc>
        <w:tc>
          <w:tcPr>
            <w:tcW w:w="1869" w:type="dxa"/>
          </w:tcPr>
          <w:p w14:paraId="5E5DD6A4"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Інженерно-інфраструктурні умови</w:t>
            </w:r>
          </w:p>
        </w:tc>
        <w:tc>
          <w:tcPr>
            <w:tcW w:w="1869" w:type="dxa"/>
          </w:tcPr>
          <w:p w14:paraId="51004A70"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Просторове зонування і сумісність</w:t>
            </w:r>
          </w:p>
        </w:tc>
      </w:tr>
      <w:tr w:rsidR="00C81213" w:rsidRPr="002015DF" w14:paraId="48336859" w14:textId="77777777" w:rsidTr="00CD4D98">
        <w:tc>
          <w:tcPr>
            <w:tcW w:w="1868" w:type="dxa"/>
          </w:tcPr>
          <w:p w14:paraId="60B8E19E"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Вільні ділянки</w:t>
            </w:r>
          </w:p>
        </w:tc>
        <w:tc>
          <w:tcPr>
            <w:tcW w:w="1869" w:type="dxa"/>
          </w:tcPr>
          <w:p w14:paraId="2FB460A3"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Наявність правового статусу, топографія, рівень освоєння</w:t>
            </w:r>
          </w:p>
        </w:tc>
        <w:tc>
          <w:tcPr>
            <w:tcW w:w="1869" w:type="dxa"/>
          </w:tcPr>
          <w:p w14:paraId="35EC18D2"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Будівництво житла, громадських будівель</w:t>
            </w:r>
          </w:p>
        </w:tc>
        <w:tc>
          <w:tcPr>
            <w:tcW w:w="1869" w:type="dxa"/>
          </w:tcPr>
          <w:p w14:paraId="3D80EE55"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Наявність під’їздів, підключення до мереж</w:t>
            </w:r>
          </w:p>
        </w:tc>
        <w:tc>
          <w:tcPr>
            <w:tcW w:w="1869" w:type="dxa"/>
          </w:tcPr>
          <w:p w14:paraId="1643F5A5"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Включення до житлових або багатофункціональних зон</w:t>
            </w:r>
          </w:p>
        </w:tc>
      </w:tr>
      <w:tr w:rsidR="00C81213" w:rsidRPr="002015DF" w14:paraId="3295F42F" w14:textId="77777777" w:rsidTr="00CD4D98">
        <w:tc>
          <w:tcPr>
            <w:tcW w:w="1868" w:type="dxa"/>
          </w:tcPr>
          <w:p w14:paraId="7736FB04"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Малоефективно використані землі</w:t>
            </w:r>
          </w:p>
        </w:tc>
        <w:tc>
          <w:tcPr>
            <w:tcW w:w="1869" w:type="dxa"/>
          </w:tcPr>
          <w:p w14:paraId="1348BCBF"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Поточне функціональне призначення vs реальний стан</w:t>
            </w:r>
          </w:p>
        </w:tc>
        <w:tc>
          <w:tcPr>
            <w:tcW w:w="1869" w:type="dxa"/>
          </w:tcPr>
          <w:p w14:paraId="687D9B44"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Реорганізація під індустріальні або комерційні потреби</w:t>
            </w:r>
          </w:p>
        </w:tc>
        <w:tc>
          <w:tcPr>
            <w:tcW w:w="1869" w:type="dxa"/>
          </w:tcPr>
          <w:p w14:paraId="35BA5C2A"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Придатність для розміщення логістики або складів</w:t>
            </w:r>
          </w:p>
        </w:tc>
        <w:tc>
          <w:tcPr>
            <w:tcW w:w="1869" w:type="dxa"/>
          </w:tcPr>
          <w:p w14:paraId="496E96A4"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Переведення до категорії виробничого використання</w:t>
            </w:r>
          </w:p>
        </w:tc>
      </w:tr>
      <w:tr w:rsidR="00C81213" w:rsidRPr="002015DF" w14:paraId="3ED0DEC5" w14:textId="77777777" w:rsidTr="00CD4D98">
        <w:tc>
          <w:tcPr>
            <w:tcW w:w="1868" w:type="dxa"/>
          </w:tcPr>
          <w:p w14:paraId="3DC58A6A"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Невикористані ділянки</w:t>
            </w:r>
          </w:p>
        </w:tc>
        <w:tc>
          <w:tcPr>
            <w:tcW w:w="1869" w:type="dxa"/>
          </w:tcPr>
          <w:p w14:paraId="5E5BC817"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Відсутність забудови, неосвоєні, з негативними характеристиками</w:t>
            </w:r>
          </w:p>
        </w:tc>
        <w:tc>
          <w:tcPr>
            <w:tcW w:w="1869" w:type="dxa"/>
          </w:tcPr>
          <w:p w14:paraId="0218146B"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Створення екологічних коридорів, рекреаційних зон</w:t>
            </w:r>
          </w:p>
        </w:tc>
        <w:tc>
          <w:tcPr>
            <w:tcW w:w="1869" w:type="dxa"/>
          </w:tcPr>
          <w:p w14:paraId="70D3FC39"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Мінімальна інженерна доступність</w:t>
            </w:r>
          </w:p>
        </w:tc>
        <w:tc>
          <w:tcPr>
            <w:tcW w:w="1869" w:type="dxa"/>
          </w:tcPr>
          <w:p w14:paraId="0F800F1F"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Включення до рекреаційних або захисних зон</w:t>
            </w:r>
          </w:p>
        </w:tc>
      </w:tr>
      <w:tr w:rsidR="00C81213" w:rsidRPr="002015DF" w14:paraId="791ADF06" w14:textId="77777777" w:rsidTr="00CD4D98">
        <w:tc>
          <w:tcPr>
            <w:tcW w:w="1868" w:type="dxa"/>
          </w:tcPr>
          <w:p w14:paraId="6DFF027B"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Ділянки з частковою інфраструктурою</w:t>
            </w:r>
          </w:p>
        </w:tc>
        <w:tc>
          <w:tcPr>
            <w:tcW w:w="1869" w:type="dxa"/>
          </w:tcPr>
          <w:p w14:paraId="6B0F1D7F"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Часткова доступність, наявність базових комунікацій</w:t>
            </w:r>
          </w:p>
        </w:tc>
        <w:tc>
          <w:tcPr>
            <w:tcW w:w="1869" w:type="dxa"/>
          </w:tcPr>
          <w:p w14:paraId="3DEB71DF"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Розвиток соціальної інфраструктури</w:t>
            </w:r>
          </w:p>
        </w:tc>
        <w:tc>
          <w:tcPr>
            <w:tcW w:w="1869" w:type="dxa"/>
          </w:tcPr>
          <w:p w14:paraId="0C7C3EAC"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Потреба в добудові окремих мереж</w:t>
            </w:r>
          </w:p>
        </w:tc>
        <w:tc>
          <w:tcPr>
            <w:tcW w:w="1869" w:type="dxa"/>
          </w:tcPr>
          <w:p w14:paraId="157D0AFA"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Зони змішаного використання</w:t>
            </w:r>
          </w:p>
        </w:tc>
      </w:tr>
      <w:tr w:rsidR="00C81213" w:rsidRPr="002015DF" w14:paraId="2B2E6249" w14:textId="77777777" w:rsidTr="00CD4D98">
        <w:tc>
          <w:tcPr>
            <w:tcW w:w="1868" w:type="dxa"/>
          </w:tcPr>
          <w:p w14:paraId="16EAF0F4"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Території на межі урбанізації</w:t>
            </w:r>
          </w:p>
        </w:tc>
        <w:tc>
          <w:tcPr>
            <w:tcW w:w="1869" w:type="dxa"/>
          </w:tcPr>
          <w:p w14:paraId="4E2A7936"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Близькість до транспортних вузлів і урбаністичних зон</w:t>
            </w:r>
          </w:p>
        </w:tc>
        <w:tc>
          <w:tcPr>
            <w:tcW w:w="1869" w:type="dxa"/>
          </w:tcPr>
          <w:p w14:paraId="4E78EBC7"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Під розвиток агломерацій, субцентрів, промислових парків</w:t>
            </w:r>
          </w:p>
        </w:tc>
        <w:tc>
          <w:tcPr>
            <w:tcW w:w="1869" w:type="dxa"/>
          </w:tcPr>
          <w:p w14:paraId="0FF9FEFF"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Високий потенціал для залучення інвестора</w:t>
            </w:r>
          </w:p>
        </w:tc>
        <w:tc>
          <w:tcPr>
            <w:tcW w:w="1869" w:type="dxa"/>
          </w:tcPr>
          <w:p w14:paraId="04B83DFA"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Інтеграція в схеми агломераційного планування</w:t>
            </w:r>
          </w:p>
        </w:tc>
      </w:tr>
    </w:tbl>
    <w:p w14:paraId="52E2AE32" w14:textId="77777777" w:rsidR="002015DF" w:rsidRPr="00C81213" w:rsidRDefault="002015DF" w:rsidP="00C81213">
      <w:pPr>
        <w:spacing w:after="0" w:line="360" w:lineRule="auto"/>
        <w:rPr>
          <w:rFonts w:ascii="Times New Roman" w:eastAsia="Calibri" w:hAnsi="Times New Roman" w:cs="Times New Roman"/>
          <w:color w:val="000000"/>
          <w:kern w:val="0"/>
          <w:sz w:val="24"/>
          <w:szCs w:val="24"/>
          <w14:ligatures w14:val="none"/>
        </w:rPr>
      </w:pPr>
    </w:p>
    <w:p w14:paraId="5D418E14"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Інвентаризація є джерелом формування багатовекторних рішень - від виявлення неоформлених земельних ділянок до розрахунку можливостей просторового резерву для залучення інвестицій. Визначення просторового потенціалу реалізується на основі узагальнення інвентаризаційних даних щодо категорій земель, доступності інфраструктури, функціональної насиченості, ризиків деградації, наявності природоохоронного навантаження. Саме на цій основі формуються картограми резервів, топологічні матриці придатності, еколого-геоморфологічні обмеження, які є базою для відбору територій під </w:t>
      </w:r>
      <w:r w:rsidRPr="002015DF">
        <w:rPr>
          <w:rFonts w:ascii="Times New Roman" w:eastAsia="Calibri" w:hAnsi="Times New Roman" w:cs="Times New Roman"/>
          <w:color w:val="000000"/>
          <w:kern w:val="0"/>
          <w:sz w:val="28"/>
          <w:szCs w:val="28"/>
          <w14:ligatures w14:val="none"/>
        </w:rPr>
        <w:t xml:space="preserve">конкретні напрями розвитку: індустріальні парки, логістичні вузли, території пріоритетного сільськогосподарського виробництва, зони збереження </w:t>
      </w:r>
      <w:r w:rsidRPr="002015DF">
        <w:rPr>
          <w:rFonts w:ascii="Times New Roman" w:eastAsia="Calibri" w:hAnsi="Times New Roman" w:cs="Times New Roman"/>
          <w:color w:val="000000"/>
          <w:kern w:val="0"/>
          <w:sz w:val="28"/>
          <w:szCs w:val="28"/>
          <w14:ligatures w14:val="none"/>
        </w:rPr>
        <w:lastRenderedPageBreak/>
        <w:t>ландшафтної цілісності тощо. Інвентаризація дозволяє оцінити наявні земельні ресурси у категоріях: доступність до включення в обіг, технічна готовність до освоєння, потреба в рекультивації, екологічна вразливість, що забезпечує не лише якісну просторову аналітику, але й мінімізує ризики нераціонального використання або руйнування потенціалу земель.</w:t>
      </w:r>
    </w:p>
    <w:p w14:paraId="36F46DE8"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Актуалізовані інвентаризаційні дані інтегруються в системи управління просторовими даними територіальних громад, стаючи основою для розробки місцевих стратегій розвитку, формування нормативної грошової оцінки, визначення бази для оподаткування, створення базових моделей зонування та реалізації інвестиційних </w:t>
      </w:r>
      <w:r w:rsidRPr="002015DF">
        <w:rPr>
          <w:rFonts w:ascii="Times New Roman" w:eastAsia="Calibri" w:hAnsi="Times New Roman" w:cs="Times New Roman"/>
          <w:color w:val="000000"/>
          <w:kern w:val="0"/>
          <w:sz w:val="28"/>
          <w:szCs w:val="28"/>
          <w14:ligatures w14:val="none"/>
        </w:rPr>
        <w:t>проєктів. Завдяки інвентаризації можна створювати багатовимірні картографічні моделі, що відображають не тільки геометричні параметри ділянок, а й їхній правовий статус, функціональну структуру, історію використання, наявність обмежень, інфраструктурну доступність, екологічну ємність. Такі моделі формують основу для прийняття рішень, спрямованих на комплексний розвиток територій із урахуванням економічної доцільності, екологічної безпеки, соціальної справедливості. У межах цифрової трансформації управлінських процесів інтеграція даних інвентаризації у відкриті геоінформаційні системи забезпечує прозорість прийняття рішень, доступність для громадськості, можливість участі громадян у плануванні розвитку [29, с. 7].</w:t>
      </w:r>
    </w:p>
    <w:p w14:paraId="5A29328C"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Інвентаризація також забезпечує контроль за ефективністю використання земель, що дозволяє обґрунтовано виявляти ділянки з нецільовим або нераціональним використанням, запускати механізми перерозподілу, формувати базу для застосування адміністративних заходів впливу на недобросовісних землекористувачів. Це сприяє виведенню земель з тіньового обігу, наповненню місцевих бюджетів, формуванню справедливої бази оподаткування, активізації ринку оренди землі, залученню інвестицій. Завдяки деталізованим даним інвентаризації можливо здійснювати порівняльну оцінку ефективності різних категорій землекористування, відслідковувати зміни у структурі угідь, фіксувати </w:t>
      </w:r>
      <w:r w:rsidRPr="002015DF">
        <w:rPr>
          <w:rFonts w:ascii="Times New Roman" w:eastAsia="Calibri" w:hAnsi="Times New Roman" w:cs="Times New Roman"/>
          <w:color w:val="000000"/>
          <w:kern w:val="0"/>
          <w:sz w:val="28"/>
          <w:szCs w:val="28"/>
          <w14:ligatures w14:val="none"/>
        </w:rPr>
        <w:t xml:space="preserve">динаміку зростання або зменшення продуктивності, </w:t>
      </w:r>
      <w:r w:rsidRPr="002015DF">
        <w:rPr>
          <w:rFonts w:ascii="Times New Roman" w:eastAsia="Calibri" w:hAnsi="Times New Roman" w:cs="Times New Roman"/>
          <w:color w:val="000000"/>
          <w:kern w:val="0"/>
          <w:sz w:val="28"/>
          <w:szCs w:val="28"/>
          <w14:ligatures w14:val="none"/>
        </w:rPr>
        <w:lastRenderedPageBreak/>
        <w:t>що дає змогу оперативно реагувати на виявлені тенденції і коригувати політику просторового управління. У цьому сенсі інвентаризація стає не лише технічним інструментом, а стратегічним елементом сталого розвитку територій, який поєднує геоаналітичну точність із соціально-економічною доцільністю [10, с. 8].</w:t>
      </w:r>
    </w:p>
    <w:p w14:paraId="798519D2"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Інвентаризація земельних ресурсів виступає не лише інструментом збору даних, а й механізмом правового упорядкування просторових відносин у межах публічної та приватної власності. Її впровадження спрямоване на усунення </w:t>
      </w:r>
      <w:r w:rsidRPr="002015DF">
        <w:rPr>
          <w:rFonts w:ascii="Times New Roman" w:eastAsia="Calibri" w:hAnsi="Times New Roman" w:cs="Times New Roman"/>
          <w:color w:val="000000"/>
          <w:kern w:val="0"/>
          <w:sz w:val="28"/>
          <w:szCs w:val="28"/>
          <w14:ligatures w14:val="none"/>
        </w:rPr>
        <w:t>невизначеностей, пов’язаних із фактичним і правовим статусом землекористування, що набуває особливого значення в умовах децентралізації, запровадження ринку землі та необхідності прозорого адміністрування ресурсів. На відміну від формального обліку, що ґрунтується виключно на документах, інвентаризація враховує фактичне використання земель незалежно від того, чи існують правовстановлюючі документи. Це дозволяє виявити тіньовий обіг ділянок, самовільне зайняття, незаконну забудову, аграрне освоєння без державної реєстрації та численні випадки несвоєчасного поновлення договорів оренди. На основі отриманих даних органи місцевого самоврядування та виконавчої влади отримують правові підстави для врегулювання таких ситуацій - оформлення або припинення прав, накладення санкцій, ініціювання судових процесів, або внесення змін до кадастрових записів. Такий підхід формує нову правову культуру землекористування, в якій тіньові моделі стають неможливими внаслідок тотальної фіксації фактичного стану ділянок, автоматизованого перехресного аналізу даних і відкритості кадастрової інформації для контролю.</w:t>
      </w:r>
    </w:p>
    <w:p w14:paraId="023C7BE3"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Інвентаризація виконує функцію первинної фіксації фактів, які згодом трансформуються в юридично значимі обставини. У разі встановлення неоформленого користування, самозахоплення, невідповідності фактичного стану даним кадастру, ця інформація є підставою для формування претензій, виключення з публічних реєстрів недійсних записів, внесення виправлень або скасування прав, що ґрунтуються на недостовірній інформації. Це особливо </w:t>
      </w:r>
      <w:r w:rsidRPr="002015DF">
        <w:rPr>
          <w:rFonts w:ascii="Times New Roman" w:eastAsia="Times New Roman" w:hAnsi="Times New Roman" w:cs="Times New Roman"/>
          <w:color w:val="000000"/>
          <w:kern w:val="0"/>
          <w:sz w:val="28"/>
          <w:szCs w:val="28"/>
          <w14:ligatures w14:val="none"/>
        </w:rPr>
        <w:lastRenderedPageBreak/>
        <w:t xml:space="preserve">актуально в аграрному секторі, де великі масиви земель обробляються без </w:t>
      </w:r>
      <w:r w:rsidRPr="002015DF">
        <w:rPr>
          <w:rFonts w:ascii="Times New Roman" w:eastAsia="Calibri" w:hAnsi="Times New Roman" w:cs="Times New Roman"/>
          <w:color w:val="000000"/>
          <w:kern w:val="0"/>
          <w:sz w:val="28"/>
          <w:szCs w:val="28"/>
          <w14:ligatures w14:val="none"/>
        </w:rPr>
        <w:t>формального оформлення договорів, що призводить до втрат місцевих бюджетів, ускладнення планування й неможливості ефективного оподаткування. Інвентаризація, виявляючи такі явища, трансформується в аналітичний інструмент формування стратегії протидії неформальному землекористуванню, яка реалізується через програмні заходи, аудити, перевірки, інвентаризаційні кампанії. Правова прозорість, досягнута завдяки такій фіксації, створює передумови для довіри до системи земельних відносин, знижує ризики рейдерства, мінімізує кількість судових спорів щодо меж і права власності, а також стимулює власників до оформлення документів і легалізації фактичного користування [22, с. 4].</w:t>
      </w:r>
    </w:p>
    <w:p w14:paraId="65696AD6"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У межах стратегії сталого розвитку інвентаризація забезпечує не лише правову стабільність, а й просторову збалансованість функціонального зонування. Станом на сучасний етап соціально-економічного розвитку України, планувальна практика потребує достовірної геоінформаційної основи, яка б дозволила визначати параметри придатності, обмеження, ефективності використання територій і формувати сценарії розвитку на підставі об'єктивних характеристик. Інвентаризація створює саме такий інформаційний фундамент, дозволяючи ідентифікувати конфліктні зони, виявляти диспропорції у використанні, визначати неузгодженість між функціональним навантаженням і ресурсною спроможністю ґрунтів, водних систем, рекреаційних ландшафтів. Це особливо суттєво для зон зі змішаною забудовою, транзитних територій, прибережних смуг, територій з обмеженнями, де спонтанний розвиток призводить до деградації, надмірного навантаження або соціального дискомфорту. Застосування інвентаризаційних даних у процесі планування дозволяє змінювати функціональні межі зон, трансформувати призначення ділянок, створювати буферні зони, зелені коридори, раціоналізувати щільність забудови, розташування соціальних об'єктів і транспортних вузлів.</w:t>
      </w:r>
    </w:p>
    <w:p w14:paraId="18347681"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Формування зон сталого землекористування вимагає опори на точну й актуальну інформацію про землі, що включає не лише правовий статус і межі, а </w:t>
      </w:r>
      <w:r w:rsidRPr="002015DF">
        <w:rPr>
          <w:rFonts w:ascii="Times New Roman" w:eastAsia="Times New Roman" w:hAnsi="Times New Roman" w:cs="Times New Roman"/>
          <w:color w:val="000000"/>
          <w:kern w:val="0"/>
          <w:sz w:val="28"/>
          <w:szCs w:val="28"/>
          <w14:ligatures w14:val="none"/>
        </w:rPr>
        <w:lastRenderedPageBreak/>
        <w:t xml:space="preserve">й інтегровану оцінку ризиків - підтоплення, зсувів, ерозії, забруднення, </w:t>
      </w:r>
      <w:r w:rsidRPr="002015DF">
        <w:rPr>
          <w:rFonts w:ascii="Times New Roman" w:eastAsia="Calibri" w:hAnsi="Times New Roman" w:cs="Times New Roman"/>
          <w:color w:val="000000"/>
          <w:kern w:val="0"/>
          <w:sz w:val="28"/>
          <w:szCs w:val="28"/>
          <w14:ligatures w14:val="none"/>
        </w:rPr>
        <w:t>техногенного навантаження. Саме інвентаризація забезпечує такі дані, дозволяючи створити просторову модель вразливості територій і здійснювати пріоритезацію в плануванні заходів адаптації, зонування та рекультивації. Додатково, аналіз функціонального зонування на основі інвентаризації дозволяє виявляти нераціональні структури розміщення - надмірну концентрацію одного типу землекористування, відсутність зв'язку між житловими, виробничими та рекреаційними зонами, фрагментацію екосистем. Це, у свою чергу, формує основу для розробки цільових стратегій – зон обмеженого розвитку, зон інтенсивного освоєння, зон екологічної реструктуризації, а також стимулювання сталого землекористування через інструменти містобудівного та земельного планування [19, с. 78].</w:t>
      </w:r>
    </w:p>
    <w:p w14:paraId="2FB2E66A"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Інвентаризація дозволяє перейти від декларативного планування до адаптивного управління простором, яке базується на постійному оновленні даних, моніторингу змін і ревізії прийнятих рішень. У цьому контексті вона є джерелом інформації для формування індикаторів сталого землекористування, таких як щільність освоєння, коефіцієнт ефективності, рівень збереження природного середовища, доступність територій для населення, відповідність інфраструктури реальним потребам. На основі таких індикаторів можна будувати системи моніторингу, що виявляють негативні тренди на ранніх етапах - деградацію, неконтрольоване розширення забудови, розриви в екосистемах - і приймати рішення про зміну підходів до управління. Інвентаризаційні дані у формі цифрових карт, моделей, баз даних інтегруються в єдині системи управління територіями, де вони поєднуються з соціально-демографічними, економічними, інженерними й екологічними параметрами для створення цілісного просторового бачення розвитку громади чи регіону.</w:t>
      </w:r>
    </w:p>
    <w:p w14:paraId="7D3E4925" w14:textId="77777777" w:rsidR="002015DF" w:rsidRPr="002015DF" w:rsidRDefault="002015DF" w:rsidP="00AB3BD6">
      <w:pPr>
        <w:spacing w:after="0" w:line="360" w:lineRule="auto"/>
        <w:ind w:firstLine="709"/>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Прозоре управління земельними ресурсами, засноване на інвентаризації, створює передумови для впровадження інструментів просторової юстиції, які орієнтовані на рівний доступ до земель, справедливе оподаткування, запобігання монополізації, стимулювання екологічної відповідальності. У </w:t>
      </w:r>
      <w:r w:rsidRPr="002015DF">
        <w:rPr>
          <w:rFonts w:ascii="Times New Roman" w:eastAsia="Times New Roman" w:hAnsi="Times New Roman" w:cs="Times New Roman"/>
          <w:color w:val="000000"/>
          <w:kern w:val="0"/>
          <w:sz w:val="28"/>
          <w:szCs w:val="28"/>
          <w14:ligatures w14:val="none"/>
        </w:rPr>
        <w:lastRenderedPageBreak/>
        <w:t xml:space="preserve">поєднанні з механізмами громадського контролю, відкритими геоінформаційними </w:t>
      </w:r>
      <w:r w:rsidRPr="002015DF">
        <w:rPr>
          <w:rFonts w:ascii="Times New Roman" w:eastAsia="Calibri" w:hAnsi="Times New Roman" w:cs="Times New Roman"/>
          <w:color w:val="000000"/>
          <w:kern w:val="0"/>
          <w:sz w:val="28"/>
          <w:szCs w:val="28"/>
          <w14:ligatures w14:val="none"/>
        </w:rPr>
        <w:t>системами та цифровими платформами прийняття рішень інвентаризація забезпечує перехід від інтуїтивного до доказового управління простором. Вона формує правову та інформаційну архітектоніку, в межах якої будь-яке рішення - від зміни цільового призначення до планування забудови - базується на об'єктивних даних, юридично вивірених і технічно точних.</w:t>
      </w:r>
    </w:p>
    <w:p w14:paraId="59890C12" w14:textId="7A607119" w:rsidR="002015DF" w:rsidRDefault="002015DF" w:rsidP="00AB3BD6">
      <w:pPr>
        <w:spacing w:after="0" w:line="360" w:lineRule="auto"/>
        <w:ind w:firstLine="709"/>
        <w:jc w:val="both"/>
        <w:rPr>
          <w:rFonts w:ascii="Times New Roman" w:eastAsia="Calibri" w:hAnsi="Times New Roman" w:cs="Times New Roman"/>
          <w:color w:val="000000"/>
          <w:kern w:val="0"/>
          <w:sz w:val="28"/>
          <w:szCs w:val="28"/>
          <w14:ligatures w14:val="none"/>
        </w:rPr>
      </w:pPr>
    </w:p>
    <w:p w14:paraId="60DFC504" w14:textId="77777777" w:rsidR="00AB3BD6" w:rsidRPr="00C81213" w:rsidRDefault="00AB3BD6" w:rsidP="00AB3BD6">
      <w:pPr>
        <w:spacing w:after="0" w:line="360" w:lineRule="auto"/>
        <w:ind w:firstLine="709"/>
        <w:jc w:val="both"/>
        <w:rPr>
          <w:rFonts w:ascii="Times New Roman" w:eastAsia="Calibri" w:hAnsi="Times New Roman" w:cs="Times New Roman"/>
          <w:color w:val="000000"/>
          <w:kern w:val="0"/>
          <w:sz w:val="28"/>
          <w:szCs w:val="28"/>
          <w14:ligatures w14:val="none"/>
        </w:rPr>
      </w:pPr>
    </w:p>
    <w:p w14:paraId="79A103A6" w14:textId="77777777" w:rsidR="002015DF" w:rsidRPr="002015DF" w:rsidRDefault="002015DF" w:rsidP="00AB3BD6">
      <w:pPr>
        <w:spacing w:after="0" w:line="360" w:lineRule="auto"/>
        <w:ind w:firstLine="709"/>
        <w:jc w:val="both"/>
        <w:outlineLvl w:val="1"/>
        <w:rPr>
          <w:rFonts w:ascii="Times New Roman" w:eastAsia="Calibri" w:hAnsi="Times New Roman" w:cs="Times New Roman"/>
          <w:color w:val="000000"/>
          <w:kern w:val="0"/>
          <w:sz w:val="28"/>
          <w:szCs w:val="28"/>
          <w14:ligatures w14:val="none"/>
        </w:rPr>
      </w:pPr>
      <w:bookmarkStart w:id="8" w:name="_Toc194707109"/>
      <w:r w:rsidRPr="002015DF">
        <w:rPr>
          <w:rFonts w:ascii="Times New Roman" w:eastAsia="Times New Roman" w:hAnsi="Times New Roman" w:cs="Times New Roman"/>
          <w:b/>
          <w:bCs/>
          <w:color w:val="000000"/>
          <w:kern w:val="0"/>
          <w:sz w:val="28"/>
          <w:szCs w:val="28"/>
          <w14:ligatures w14:val="none"/>
        </w:rPr>
        <w:t>Висновки до розділу 1</w:t>
      </w:r>
      <w:bookmarkEnd w:id="8"/>
    </w:p>
    <w:p w14:paraId="4B827AE8" w14:textId="77777777" w:rsidR="00AB3BD6" w:rsidRDefault="00AB3BD6" w:rsidP="00AB3BD6">
      <w:pPr>
        <w:spacing w:after="0" w:line="360" w:lineRule="auto"/>
        <w:ind w:firstLine="709"/>
        <w:jc w:val="both"/>
        <w:rPr>
          <w:rFonts w:ascii="Times New Roman" w:eastAsia="Times New Roman" w:hAnsi="Times New Roman" w:cs="Times New Roman"/>
          <w:color w:val="000000"/>
          <w:kern w:val="0"/>
          <w:sz w:val="28"/>
          <w:szCs w:val="28"/>
          <w14:ligatures w14:val="none"/>
        </w:rPr>
      </w:pPr>
    </w:p>
    <w:p w14:paraId="33860235" w14:textId="77777777" w:rsidR="00AB3BD6" w:rsidRDefault="00AB3BD6" w:rsidP="00AB3BD6">
      <w:pPr>
        <w:spacing w:after="0" w:line="360" w:lineRule="auto"/>
        <w:ind w:firstLine="709"/>
        <w:jc w:val="both"/>
        <w:rPr>
          <w:rFonts w:ascii="Times New Roman" w:eastAsia="Times New Roman" w:hAnsi="Times New Roman" w:cs="Times New Roman"/>
          <w:color w:val="000000"/>
          <w:kern w:val="0"/>
          <w:sz w:val="28"/>
          <w:szCs w:val="28"/>
          <w14:ligatures w14:val="none"/>
        </w:rPr>
      </w:pPr>
    </w:p>
    <w:p w14:paraId="3115F3D6" w14:textId="67B20566" w:rsidR="002015DF" w:rsidRPr="002015DF" w:rsidRDefault="002015DF" w:rsidP="00AB3BD6">
      <w:pPr>
        <w:spacing w:after="0" w:line="360" w:lineRule="auto"/>
        <w:ind w:firstLine="709"/>
        <w:jc w:val="both"/>
        <w:rPr>
          <w:rFonts w:ascii="Times New Roman" w:eastAsia="Calibri" w:hAnsi="Times New Roman" w:cs="Times New Roman"/>
          <w:b/>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Інвентаризація земель у системі землевпорядкування виступає системним інструментом, що забезпечує об’єктивне відображення фактичного стану землекористування, правове унормування ділянок, просторову фіксацію меж та встановлення юридичного статусу земель. Вона є основою для формування раціональної структури землеволодінь, впорядкування інформації про кількісний і якісний склад земельного фонду та його використання відповідно до функціонального призначення. Законодавче забезпечення інвентаризації в Україні ґрунтується на положеннях Земельного кодексу, Закону «Про землеустрій», Закону «Про державний земельний кадастр» та нормативно-правових актів Кабінету Міністрів, що встановлюють порядок ініціювання, фінансування, затвердження та інтеграції інвентаризаційних даних у кадастрові системи. Ці положення забезпечують комплексну організацію процедури та контроль за її результатами з боку уповноважених органів.</w:t>
      </w:r>
      <w:r w:rsidRPr="002015DF">
        <w:rPr>
          <w:rFonts w:ascii="Times New Roman" w:eastAsia="Calibri" w:hAnsi="Times New Roman" w:cs="Times New Roman"/>
          <w:b/>
          <w:color w:val="000000"/>
          <w:kern w:val="0"/>
          <w:sz w:val="28"/>
          <w:szCs w:val="28"/>
          <w14:ligatures w14:val="none"/>
        </w:rPr>
        <w:br w:type="page"/>
      </w:r>
    </w:p>
    <w:p w14:paraId="32382E63" w14:textId="77777777" w:rsidR="002015DF" w:rsidRPr="002015DF" w:rsidRDefault="002015DF" w:rsidP="002015DF">
      <w:pPr>
        <w:spacing w:after="0" w:line="360" w:lineRule="auto"/>
        <w:ind w:firstLine="706"/>
        <w:jc w:val="center"/>
        <w:outlineLvl w:val="0"/>
        <w:rPr>
          <w:rFonts w:ascii="Times New Roman" w:eastAsia="Calibri" w:hAnsi="Times New Roman" w:cs="Times New Roman"/>
          <w:b/>
          <w:color w:val="000000"/>
          <w:kern w:val="0"/>
          <w:sz w:val="28"/>
          <w:szCs w:val="28"/>
          <w14:ligatures w14:val="none"/>
        </w:rPr>
      </w:pPr>
      <w:bookmarkStart w:id="9" w:name="_Toc194707110"/>
      <w:r w:rsidRPr="002015DF">
        <w:rPr>
          <w:rFonts w:ascii="Times New Roman" w:eastAsia="Times New Roman" w:hAnsi="Times New Roman" w:cs="Times New Roman"/>
          <w:b/>
          <w:color w:val="000000"/>
          <w:kern w:val="0"/>
          <w:sz w:val="28"/>
          <w:szCs w:val="28"/>
          <w14:ligatures w14:val="none"/>
        </w:rPr>
        <w:lastRenderedPageBreak/>
        <w:t xml:space="preserve">РОЗДІЛ 2 </w:t>
      </w:r>
    </w:p>
    <w:p w14:paraId="3058570B" w14:textId="77777777" w:rsidR="002015DF" w:rsidRPr="002015DF" w:rsidRDefault="002015DF" w:rsidP="002015DF">
      <w:pPr>
        <w:spacing w:after="0" w:line="360" w:lineRule="auto"/>
        <w:ind w:firstLine="706"/>
        <w:jc w:val="center"/>
        <w:outlineLvl w:val="0"/>
        <w:rPr>
          <w:rFonts w:ascii="Times New Roman" w:eastAsia="Calibri" w:hAnsi="Times New Roman" w:cs="Times New Roman"/>
          <w:b/>
          <w:color w:val="000000"/>
          <w:kern w:val="0"/>
          <w:sz w:val="28"/>
          <w:szCs w:val="28"/>
          <w14:ligatures w14:val="none"/>
        </w:rPr>
      </w:pPr>
      <w:r w:rsidRPr="002015DF">
        <w:rPr>
          <w:rFonts w:ascii="Times New Roman" w:eastAsia="Times New Roman" w:hAnsi="Times New Roman" w:cs="Times New Roman"/>
          <w:b/>
          <w:color w:val="000000"/>
          <w:kern w:val="0"/>
          <w:sz w:val="28"/>
          <w:szCs w:val="28"/>
          <w14:ligatures w14:val="none"/>
        </w:rPr>
        <w:t>ОРГАНІЗАЦІЯ ТА ПРОВЕДЕННЯ ІНВЕНТАРИЗАЦІЇ ЗЕМЕЛЬ ЯК ПЕРЕДУМОВА ЗЕМЛЕУСТРОЮ</w:t>
      </w:r>
      <w:bookmarkEnd w:id="9"/>
    </w:p>
    <w:p w14:paraId="48101AFC" w14:textId="77777777" w:rsidR="002015DF" w:rsidRPr="002015DF" w:rsidRDefault="002015DF" w:rsidP="002015DF">
      <w:pPr>
        <w:spacing w:after="0" w:line="360" w:lineRule="auto"/>
        <w:ind w:firstLine="706"/>
        <w:jc w:val="both"/>
        <w:rPr>
          <w:rFonts w:ascii="Times New Roman" w:eastAsia="Calibri" w:hAnsi="Times New Roman" w:cs="Times New Roman"/>
          <w:b/>
          <w:color w:val="000000"/>
          <w:kern w:val="0"/>
          <w:sz w:val="28"/>
          <w:szCs w:val="28"/>
          <w14:ligatures w14:val="none"/>
        </w:rPr>
      </w:pPr>
    </w:p>
    <w:p w14:paraId="2CE81528" w14:textId="77777777" w:rsidR="002015DF" w:rsidRPr="002015DF" w:rsidRDefault="002015DF" w:rsidP="002015DF">
      <w:pPr>
        <w:spacing w:after="0" w:line="360" w:lineRule="auto"/>
        <w:ind w:firstLine="706"/>
        <w:jc w:val="both"/>
        <w:outlineLvl w:val="1"/>
        <w:rPr>
          <w:rFonts w:ascii="Times New Roman" w:eastAsia="Calibri" w:hAnsi="Times New Roman" w:cs="Times New Roman"/>
          <w:b/>
          <w:color w:val="000000"/>
          <w:kern w:val="0"/>
          <w:sz w:val="28"/>
          <w:szCs w:val="28"/>
          <w14:ligatures w14:val="none"/>
        </w:rPr>
      </w:pPr>
      <w:bookmarkStart w:id="10" w:name="_Toc194707111"/>
      <w:r w:rsidRPr="002015DF">
        <w:rPr>
          <w:rFonts w:ascii="Times New Roman" w:eastAsia="Times New Roman" w:hAnsi="Times New Roman" w:cs="Times New Roman"/>
          <w:b/>
          <w:color w:val="000000"/>
          <w:kern w:val="0"/>
          <w:sz w:val="28"/>
          <w:szCs w:val="28"/>
          <w14:ligatures w14:val="none"/>
        </w:rPr>
        <w:t xml:space="preserve">2.1 </w:t>
      </w:r>
      <w:r w:rsidRPr="002015DF">
        <w:rPr>
          <w:rFonts w:ascii="Times New Roman" w:eastAsia="Calibri" w:hAnsi="Times New Roman" w:cs="Times New Roman"/>
          <w:b/>
          <w:bCs/>
          <w:color w:val="000000"/>
          <w:kern w:val="0"/>
          <w:sz w:val="28"/>
          <w:szCs w:val="28"/>
          <w14:ligatures w14:val="none"/>
        </w:rPr>
        <w:t>Етапи проведення інвентаризації земель: підготовка, виконання, документування</w:t>
      </w:r>
      <w:bookmarkEnd w:id="10"/>
    </w:p>
    <w:p w14:paraId="66751DCA" w14:textId="77777777" w:rsidR="00AB3BD6" w:rsidRDefault="00AB3BD6" w:rsidP="002015DF">
      <w:pPr>
        <w:spacing w:after="0" w:line="360" w:lineRule="auto"/>
        <w:ind w:firstLine="706"/>
        <w:jc w:val="both"/>
        <w:rPr>
          <w:rFonts w:ascii="Times New Roman" w:eastAsia="Times New Roman" w:hAnsi="Times New Roman" w:cs="Times New Roman"/>
          <w:color w:val="000000"/>
          <w:kern w:val="0"/>
          <w:sz w:val="28"/>
          <w:szCs w:val="28"/>
          <w14:ligatures w14:val="none"/>
        </w:rPr>
      </w:pPr>
    </w:p>
    <w:p w14:paraId="6EF23F21" w14:textId="77777777" w:rsidR="00AB3BD6" w:rsidRDefault="00AB3BD6" w:rsidP="002015DF">
      <w:pPr>
        <w:spacing w:after="0" w:line="360" w:lineRule="auto"/>
        <w:ind w:firstLine="706"/>
        <w:jc w:val="both"/>
        <w:rPr>
          <w:rFonts w:ascii="Times New Roman" w:eastAsia="Times New Roman" w:hAnsi="Times New Roman" w:cs="Times New Roman"/>
          <w:color w:val="000000"/>
          <w:kern w:val="0"/>
          <w:sz w:val="28"/>
          <w:szCs w:val="28"/>
          <w14:ligatures w14:val="none"/>
        </w:rPr>
      </w:pPr>
    </w:p>
    <w:p w14:paraId="5E8070AD" w14:textId="3604BDCD"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Процедура проведення інвентаризації земель в Україні складається з послідовних, нормативно закріплених етапів, кожен з яких має власну функціональну логіку, методичне забезпечення та систему інструментального виконання. Інвентаризація не може розглядатися як одноразова технічна дія, оскільки її виконання передбачає складну взаємодію нормативно-правових, технічних, геоінформаційних і управлінських процедур. На першому - підготовчому - етапі здійснюється формування технічного завдання, що є базовим документом, у якому фіксуються об’єкти інвентаризації, географічні межі території, характер та обсяг польових і камеральних робіт, вимоги до точності геодезичних вимірювань, формат і структура графічних та аналітичних матеріалів, що мають бути підготовлені за результатами виконання. Технічне завдання складається замовником інвентаризаційних робіт - органом місцевого самоврядування, органом державної виконавчої влади або фізичною чи юридичною особою, що має на меті врегулювання правового статусу ділянки. Після погодження змісту завдання з виконавцем робіт (землевпорядною організацією), воно набуває статусу офіційного інструктивного документа, що слугує основою для укладення договору [7, с. 3].</w:t>
      </w:r>
    </w:p>
    <w:p w14:paraId="006F9231" w14:textId="4DEE2F74"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Одночасно з підготовкою технічного завдання здійснюється процес отримання вихідних матеріалів. До таких належать: кадастрові плани та витяги, топографо-геодезичні карти у масштабах 1:10000 або 1:5000 (залежно від характеру території), </w:t>
      </w:r>
      <w:r w:rsidRPr="002015DF">
        <w:rPr>
          <w:rFonts w:ascii="Times New Roman" w:eastAsia="Calibri" w:hAnsi="Times New Roman" w:cs="Times New Roman"/>
          <w:color w:val="000000"/>
          <w:kern w:val="0"/>
          <w:sz w:val="28"/>
          <w:szCs w:val="28"/>
          <w14:ligatures w14:val="none"/>
        </w:rPr>
        <w:t xml:space="preserve">аерофотознімки, супутникові знімки, дані GPS-зйомок, матеріали архівної інвентаризації, відомості про правовий статус земельних </w:t>
      </w:r>
      <w:r w:rsidRPr="002015DF">
        <w:rPr>
          <w:rFonts w:ascii="Times New Roman" w:eastAsia="Calibri" w:hAnsi="Times New Roman" w:cs="Times New Roman"/>
          <w:color w:val="000000"/>
          <w:kern w:val="0"/>
          <w:sz w:val="28"/>
          <w:szCs w:val="28"/>
          <w14:ligatures w14:val="none"/>
        </w:rPr>
        <w:lastRenderedPageBreak/>
        <w:t>ділянок (витяги з Реєстру речових прав), рішення про надання ділянок у власність або користування, договори оренди, сервітуту, суперфіцію. Ці матеріали перевіряються на предмет актуальності, просторової точності, відповідності реєстраційним даним та картографічному наповненню. У разі їх неповноти чи застарілості здійснюється запит до Держгеокадастру або проведення актуалізації шляхом польових вимірювань. Наступним практичним етапом є добір виконавців - суб’єктів господарювання, які мають чинну ліцензію на виконання землеустрою, у своєму складі сертифікованих інженерів-землевпорядників та відповідне технічне забезпечення (GNSS-приймачі, тахеометри, дрони, програмне забезпечення для обробки геопросторової інформації). Вибір виконавця відбувається на конкурсній основі (у разі фінансування з бюджету), або шляхом укладення договору без тендеру - якщо ініціатором виступає приватна особа</w:t>
      </w:r>
      <w:r w:rsidR="00AB3BD6">
        <w:rPr>
          <w:rFonts w:ascii="Times New Roman" w:eastAsia="Calibri" w:hAnsi="Times New Roman" w:cs="Times New Roman"/>
          <w:color w:val="000000"/>
          <w:kern w:val="0"/>
          <w:sz w:val="28"/>
          <w:szCs w:val="28"/>
          <w14:ligatures w14:val="none"/>
        </w:rPr>
        <w:t xml:space="preserve"> (таблиця 2.1)</w:t>
      </w:r>
      <w:r w:rsidRPr="002015DF">
        <w:rPr>
          <w:rFonts w:ascii="Times New Roman" w:eastAsia="Calibri" w:hAnsi="Times New Roman" w:cs="Times New Roman"/>
          <w:color w:val="000000"/>
          <w:kern w:val="0"/>
          <w:sz w:val="28"/>
          <w:szCs w:val="28"/>
          <w14:ligatures w14:val="none"/>
        </w:rPr>
        <w:t>.</w:t>
      </w:r>
    </w:p>
    <w:p w14:paraId="53480025" w14:textId="77777777" w:rsidR="002015DF" w:rsidRPr="002015DF" w:rsidRDefault="002015DF" w:rsidP="002015DF">
      <w:pPr>
        <w:spacing w:after="0" w:line="360" w:lineRule="auto"/>
        <w:ind w:firstLine="706"/>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Таблиця 2.1 Підготовка вихідних матеріалів і добір виконавців у процедурі інвентаризації земель</w:t>
      </w:r>
    </w:p>
    <w:tbl>
      <w:tblPr>
        <w:tblStyle w:val="ae"/>
        <w:tblW w:w="0" w:type="auto"/>
        <w:tblLook w:val="04A0" w:firstRow="1" w:lastRow="0" w:firstColumn="1" w:lastColumn="0" w:noHBand="0" w:noVBand="1"/>
      </w:tblPr>
      <w:tblGrid>
        <w:gridCol w:w="2336"/>
        <w:gridCol w:w="2336"/>
        <w:gridCol w:w="2336"/>
        <w:gridCol w:w="2336"/>
      </w:tblGrid>
      <w:tr w:rsidR="00C81213" w:rsidRPr="002015DF" w14:paraId="29E7037C" w14:textId="77777777" w:rsidTr="00CD4D98">
        <w:tc>
          <w:tcPr>
            <w:tcW w:w="2336" w:type="dxa"/>
          </w:tcPr>
          <w:p w14:paraId="019A38EA"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Етап процедури</w:t>
            </w:r>
          </w:p>
        </w:tc>
        <w:tc>
          <w:tcPr>
            <w:tcW w:w="2336" w:type="dxa"/>
          </w:tcPr>
          <w:p w14:paraId="14862747"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Тип вихідних матеріалів</w:t>
            </w:r>
          </w:p>
        </w:tc>
        <w:tc>
          <w:tcPr>
            <w:tcW w:w="2336" w:type="dxa"/>
          </w:tcPr>
          <w:p w14:paraId="799D8018"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Джерело отримання матеріалів</w:t>
            </w:r>
          </w:p>
        </w:tc>
        <w:tc>
          <w:tcPr>
            <w:tcW w:w="2336" w:type="dxa"/>
          </w:tcPr>
          <w:p w14:paraId="2A4811FE"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Критерії оцінювання придатності</w:t>
            </w:r>
          </w:p>
        </w:tc>
      </w:tr>
      <w:tr w:rsidR="00C81213" w:rsidRPr="002015DF" w14:paraId="57532D5D" w14:textId="77777777" w:rsidTr="00CD4D98">
        <w:tc>
          <w:tcPr>
            <w:tcW w:w="2336" w:type="dxa"/>
          </w:tcPr>
          <w:p w14:paraId="1E7D6718"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Підготовка документації</w:t>
            </w:r>
          </w:p>
        </w:tc>
        <w:tc>
          <w:tcPr>
            <w:tcW w:w="2336" w:type="dxa"/>
          </w:tcPr>
          <w:p w14:paraId="4BE8BC4A"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Технічне завдання, опис об’єкта інвентаризації</w:t>
            </w:r>
          </w:p>
        </w:tc>
        <w:tc>
          <w:tcPr>
            <w:tcW w:w="2336" w:type="dxa"/>
          </w:tcPr>
          <w:p w14:paraId="3A8C420B"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Замовник, орган управління</w:t>
            </w:r>
          </w:p>
        </w:tc>
        <w:tc>
          <w:tcPr>
            <w:tcW w:w="2336" w:type="dxa"/>
          </w:tcPr>
          <w:p w14:paraId="31CE6DB3"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Повнота, відповідність об’єкту, актуальність</w:t>
            </w:r>
          </w:p>
        </w:tc>
      </w:tr>
      <w:tr w:rsidR="00C81213" w:rsidRPr="002015DF" w14:paraId="3D0A14FE" w14:textId="77777777" w:rsidTr="00CD4D98">
        <w:tc>
          <w:tcPr>
            <w:tcW w:w="2336" w:type="dxa"/>
          </w:tcPr>
          <w:p w14:paraId="2D00319C"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Отримання картографічних даних</w:t>
            </w:r>
          </w:p>
        </w:tc>
        <w:tc>
          <w:tcPr>
            <w:tcW w:w="2336" w:type="dxa"/>
          </w:tcPr>
          <w:p w14:paraId="7B7C0BEE"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Топографо-геодезичні карти, аерофото- і супутникові знімки</w:t>
            </w:r>
          </w:p>
        </w:tc>
        <w:tc>
          <w:tcPr>
            <w:tcW w:w="2336" w:type="dxa"/>
          </w:tcPr>
          <w:p w14:paraId="60E296A1"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Держгеокадастр, геодезичні архіви, наукові центри</w:t>
            </w:r>
          </w:p>
        </w:tc>
        <w:tc>
          <w:tcPr>
            <w:tcW w:w="2336" w:type="dxa"/>
          </w:tcPr>
          <w:p w14:paraId="6FB9915A"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Просторова точність, масштаб, дата оновлення</w:t>
            </w:r>
          </w:p>
        </w:tc>
      </w:tr>
      <w:tr w:rsidR="00C81213" w:rsidRPr="002015DF" w14:paraId="4F6ABC09" w14:textId="77777777" w:rsidTr="00CD4D98">
        <w:tc>
          <w:tcPr>
            <w:tcW w:w="2336" w:type="dxa"/>
          </w:tcPr>
          <w:p w14:paraId="46D4324F"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Отримання реєстраційних даних</w:t>
            </w:r>
          </w:p>
        </w:tc>
        <w:tc>
          <w:tcPr>
            <w:tcW w:w="2336" w:type="dxa"/>
          </w:tcPr>
          <w:p w14:paraId="559AD8F7"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Витяги з ДРРП, договори оренди, рішення про передачу земель</w:t>
            </w:r>
          </w:p>
        </w:tc>
        <w:tc>
          <w:tcPr>
            <w:tcW w:w="2336" w:type="dxa"/>
          </w:tcPr>
          <w:p w14:paraId="30825486"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Центри надання адмінпослуг, нотаріуси, архіви</w:t>
            </w:r>
          </w:p>
        </w:tc>
        <w:tc>
          <w:tcPr>
            <w:tcW w:w="2336" w:type="dxa"/>
          </w:tcPr>
          <w:p w14:paraId="12F15586"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Відповідність кадастровим планам, чинність документів</w:t>
            </w:r>
          </w:p>
        </w:tc>
      </w:tr>
      <w:tr w:rsidR="00C81213" w:rsidRPr="002015DF" w14:paraId="1D2DCB76" w14:textId="77777777" w:rsidTr="00CD4D98">
        <w:tc>
          <w:tcPr>
            <w:tcW w:w="2336" w:type="dxa"/>
          </w:tcPr>
          <w:p w14:paraId="4CBC949D"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Перевірка повноти матеріалів</w:t>
            </w:r>
          </w:p>
        </w:tc>
        <w:tc>
          <w:tcPr>
            <w:tcW w:w="2336" w:type="dxa"/>
          </w:tcPr>
          <w:p w14:paraId="799E21B9"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Зіставлення з фактичним користуванням</w:t>
            </w:r>
          </w:p>
        </w:tc>
        <w:tc>
          <w:tcPr>
            <w:tcW w:w="2336" w:type="dxa"/>
          </w:tcPr>
          <w:p w14:paraId="4280BC7B"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Камеральна перевірка і попередній аналіз</w:t>
            </w:r>
          </w:p>
        </w:tc>
        <w:tc>
          <w:tcPr>
            <w:tcW w:w="2336" w:type="dxa"/>
          </w:tcPr>
          <w:p w14:paraId="5FCB8157"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Повнота покриття території, узгодженість між шарами</w:t>
            </w:r>
          </w:p>
        </w:tc>
      </w:tr>
      <w:tr w:rsidR="00C81213" w:rsidRPr="002015DF" w14:paraId="4DF87DF1" w14:textId="77777777" w:rsidTr="00CD4D98">
        <w:tc>
          <w:tcPr>
            <w:tcW w:w="2336" w:type="dxa"/>
          </w:tcPr>
          <w:p w14:paraId="00E33414"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Добір виконавців</w:t>
            </w:r>
          </w:p>
        </w:tc>
        <w:tc>
          <w:tcPr>
            <w:tcW w:w="2336" w:type="dxa"/>
          </w:tcPr>
          <w:p w14:paraId="27519E50"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Суб’єкти господарювання з ліцензією на землеустрій</w:t>
            </w:r>
          </w:p>
        </w:tc>
        <w:tc>
          <w:tcPr>
            <w:tcW w:w="2336" w:type="dxa"/>
          </w:tcPr>
          <w:p w14:paraId="01331BA4"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Єдиний реєстр, оголошення, запити до сертифікованих</w:t>
            </w:r>
          </w:p>
        </w:tc>
        <w:tc>
          <w:tcPr>
            <w:tcW w:w="2336" w:type="dxa"/>
          </w:tcPr>
          <w:p w14:paraId="20B80084" w14:textId="77777777" w:rsidR="00C81213" w:rsidRPr="002015DF" w:rsidRDefault="00C81213" w:rsidP="00AB3BD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Володіння обладнанням GNSS, БПЛА, програмами GIS</w:t>
            </w:r>
          </w:p>
        </w:tc>
      </w:tr>
    </w:tbl>
    <w:p w14:paraId="7D509D86" w14:textId="77777777" w:rsidR="002015DF" w:rsidRPr="002015DF" w:rsidRDefault="002015DF" w:rsidP="002015DF">
      <w:pPr>
        <w:spacing w:after="0" w:line="360" w:lineRule="auto"/>
        <w:ind w:firstLine="706"/>
        <w:jc w:val="center"/>
        <w:rPr>
          <w:rFonts w:ascii="Times New Roman" w:eastAsia="Calibri" w:hAnsi="Times New Roman" w:cs="Times New Roman"/>
          <w:color w:val="000000"/>
          <w:kern w:val="0"/>
          <w:sz w:val="28"/>
          <w:szCs w:val="28"/>
          <w14:ligatures w14:val="none"/>
        </w:rPr>
      </w:pPr>
    </w:p>
    <w:p w14:paraId="18B81C3C"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lastRenderedPageBreak/>
        <w:t xml:space="preserve">Після завершення підготовчого етапу переходять до безпосереднього проведення польових і камеральних робіт. Польові роботи включають геодезичне обстеження території із застосуванням методів GNSS-спостережень </w:t>
      </w:r>
      <w:r w:rsidRPr="002015DF">
        <w:rPr>
          <w:rFonts w:ascii="Times New Roman" w:eastAsia="Calibri" w:hAnsi="Times New Roman" w:cs="Times New Roman"/>
          <w:color w:val="000000"/>
          <w:kern w:val="0"/>
          <w:sz w:val="28"/>
          <w:szCs w:val="28"/>
          <w14:ligatures w14:val="none"/>
        </w:rPr>
        <w:t>у режимах статичної, швидкої статичної або RTK-зйомки залежно від площі ділянки, складності рельєфу, доступності сигналу та потреб у точності. Здійснюється фіксація координат поворотних точок меж земельних ділянок у системі координат УСК-2000, із забезпеченням точності в межах ±0,10 метра для населених пунктів і ±0,30 метра для сільськогосподарських угідь. Одночасно виконується фотознімкування меж, фіксація об’єктів інфраструктури, огляд наявності природних обмежень, гідрологічних і ґрунтових умов, антропогенних змін. У разі виявлення невідповідностей між фактичним використанням та даними кадастру виконавець зобов’язаний зафіксувати такі розбіжності, скласти схеми з поясненнями та підготувати пропозиції щодо уточнення меж, усунення подвійного обліку чи відсутності кадастрового номера [26, с. 23].</w:t>
      </w:r>
    </w:p>
    <w:p w14:paraId="6A1FFBB1"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Фіксація меж ділянок супроводжується погодженням із суміжними землекористувачами, яке здійснюється в письмовій формі - шляхом складання актів погодження меж за участі зацікавлених сторін. У разі неможливості досягнення консенсусу (відмова підпису, конфлікт інтересів, суперечка щодо правового статусу межі) виконавець фіксує ситуацію у вигляді технічної довідки, що додається до матеріалів як підстава для подальшого врегулювання в судовому або адміністративному порядку. Завершивши польовий етап, виконавці переходять до камеральної обробки матеріалів. Вона передбачає </w:t>
      </w:r>
      <w:r w:rsidRPr="002015DF">
        <w:rPr>
          <w:rFonts w:ascii="Times New Roman" w:eastAsia="Calibri" w:hAnsi="Times New Roman" w:cs="Times New Roman"/>
          <w:color w:val="000000"/>
          <w:kern w:val="0"/>
          <w:sz w:val="28"/>
          <w:szCs w:val="28"/>
          <w14:ligatures w14:val="none"/>
        </w:rPr>
        <w:t>векторизацію меж у спеціалізованому програмному забезпеченні (MapInfo, AutoCAD Map, QGIS, ArcGIS), побудову картографічних шарів, присвоєння атрибутивних даних ділянкам, формування кадастрових таблиць, оформлення протоколів вимірювань, схем розташування, пояснювальних записок і технічних звітів. Окремо виконується зведення результатів до форматів XML та SHP для подальшого внесення до державного земельного кадастру.</w:t>
      </w:r>
    </w:p>
    <w:p w14:paraId="6807A398"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lastRenderedPageBreak/>
        <w:t xml:space="preserve">На етапі документування результати інвентаризації оформлюються у вигляді документації з землеустрою, яка включає графічні матеріали, текстову частину, цифрові копії, акти погодження, технічні пояснення, результати координування, висновки щодо правового та функціонального стану земель. Ця документація проходить внутрішню експертизу виконавцем, після чого </w:t>
      </w:r>
      <w:r w:rsidRPr="002015DF">
        <w:rPr>
          <w:rFonts w:ascii="Times New Roman" w:eastAsia="Calibri" w:hAnsi="Times New Roman" w:cs="Times New Roman"/>
          <w:color w:val="000000"/>
          <w:kern w:val="0"/>
          <w:sz w:val="28"/>
          <w:szCs w:val="28"/>
          <w14:ligatures w14:val="none"/>
        </w:rPr>
        <w:t>передається замовнику для погодження. У разі відсутності зауважень вона подається до територіального органу Держгеокадастру, який здійснює перевірку відповідності результатів вимогам законодавства, технічним стандартам і даним кадастру. Після погодження орган затверджує матеріали інвентаризації, видає відповідний наказ або рішення, що фіксує факт завершення процедури. Всі результати вносяться до державного земельного кадастру із присвоєнням кадастрових номерів, оновленням записів про межі, функціональне використання, правовий статус і обмеження [6, с. 7].</w:t>
      </w:r>
    </w:p>
    <w:p w14:paraId="081BE673"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Завершальний етап включає інтеграцію результатів до електронної системи ведення кадастру, де вони стають частиною офіційної геоінформаційної структури країни. У процесі внесення даних використовується API-інтерфейс кадастрової системи або веб-портал </w:t>
      </w:r>
      <w:r w:rsidRPr="002015DF">
        <w:rPr>
          <w:rFonts w:ascii="Times New Roman" w:eastAsia="Calibri" w:hAnsi="Times New Roman" w:cs="Times New Roman"/>
          <w:color w:val="000000"/>
          <w:kern w:val="0"/>
          <w:sz w:val="28"/>
          <w:szCs w:val="28"/>
          <w14:ligatures w14:val="none"/>
        </w:rPr>
        <w:t>Держгеокадастру, через який виконавці надають дані у вигляді структурованих файлів. Система автоматично перевіряє відповідність координат, унікальність кадастрових номерів, коректність атрибутивних значень. У разі підтвердження коректності записи фіксуються, і інформація стає доступною через публічну кадастрову карту. Одночасно інвентаризаційна документація передається до архівів органів місцевого самоврядування, копії зберігаються в організації-виконавці, а для користувача оформлюється офіційний витяг з кадастру, який підтверджує наявність зареєстрованого об'єкта з усіма його технічними та правовими характеристиками.</w:t>
      </w:r>
    </w:p>
    <w:p w14:paraId="3164704B"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Завершальний етап інвентаризації земельних ресурсів в Україні полягає у створенні повного пакета технічної документації, що складається з аналітичної, графічної та цифрової частин, які мають пройти процедуру затвердження та бути інтегрованими в державні кадастрові системи. Після завершення </w:t>
      </w:r>
      <w:r w:rsidRPr="002015DF">
        <w:rPr>
          <w:rFonts w:ascii="Times New Roman" w:eastAsia="Times New Roman" w:hAnsi="Times New Roman" w:cs="Times New Roman"/>
          <w:color w:val="000000"/>
          <w:kern w:val="0"/>
          <w:sz w:val="28"/>
          <w:szCs w:val="28"/>
          <w14:ligatures w14:val="none"/>
        </w:rPr>
        <w:lastRenderedPageBreak/>
        <w:t xml:space="preserve">польового етапу та камеральної обробки виконавець переходить до формування остаточних продуктів інвентаризації, які повинні відповідати вимогам нормативно-технічних документів, зокрема ДСТУ 3768:2019, наказу Міністерства аграрної політики та продовольства України №43 та технічного регламенту ведення Державного земельного кадастру. Одним з базових компонентів є створення </w:t>
      </w:r>
      <w:r w:rsidRPr="002015DF">
        <w:rPr>
          <w:rFonts w:ascii="Times New Roman" w:eastAsia="Calibri" w:hAnsi="Times New Roman" w:cs="Times New Roman"/>
          <w:color w:val="000000"/>
          <w:kern w:val="0"/>
          <w:sz w:val="28"/>
          <w:szCs w:val="28"/>
          <w14:ligatures w14:val="none"/>
        </w:rPr>
        <w:t>великомасштабних картографічних матеріалів, які відображають конфігурацію земельних ділянок, межі, координати поворотних точок, розташування об’єктів інфраструктури, охоронних територій, обмежень у використанні, функціональні зони та межі населених пунктів. Ці карти створюються у векторному вигляді в системі координат УСК-2000 з використанням програмного забезпечення типу ArcGIS, QGIS, AutoCAD Map або MapInfo, що забезпечує точність візуалізації меж ділянок на основі геодезичних вимірювань. Обов’язковими елементами карт є масштаб, сітка координат, легенда, умовні позначення, таблиці атрибутів та реквізити виконавця [30, с. 6].</w:t>
      </w:r>
    </w:p>
    <w:p w14:paraId="7534AEA8"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Паралельно формується звітна документація, що включає технічну пояснювальну записку, опис об’єктів інвентаризації, методику виконання робіт, таблиці з координатами точок меж, площами ділянок, інформацією про категорію земель, угіддя, цільове призначення, правовий статус, обмеження у використанні, наявність прав власності, оренди чи іншого речового права. У звітах обов’язково зазначаються джерела вихідної інформації, описуються виявлені розбіжності з кадастровими даними, </w:t>
      </w:r>
      <w:r w:rsidRPr="002015DF">
        <w:rPr>
          <w:rFonts w:ascii="Times New Roman" w:eastAsia="Calibri" w:hAnsi="Times New Roman" w:cs="Times New Roman"/>
          <w:color w:val="000000"/>
          <w:kern w:val="0"/>
          <w:sz w:val="28"/>
          <w:szCs w:val="28"/>
          <w14:ligatures w14:val="none"/>
        </w:rPr>
        <w:t xml:space="preserve">формулюються пропозиції щодо уточнення записів. Окремо подаються акти погодження меж з суміжними землекористувачами, а у разі відсутності погодження - технічні пояснення із зазначенням причин та картографічним фіксуванням спірних ділянок. Всі матеріали комплектуються у вигляді технічної документації з землеустрою з дотриманням внутрішньої структури, передбаченої відповідними нормативами. Графічна і текстова частини зшиваються в паперовому вигляді, а також дублюються у цифровому форматі (PDF, DOCX, TIFF, SHP, DXF, XML) з </w:t>
      </w:r>
      <w:r w:rsidRPr="002015DF">
        <w:rPr>
          <w:rFonts w:ascii="Times New Roman" w:eastAsia="Calibri" w:hAnsi="Times New Roman" w:cs="Times New Roman"/>
          <w:color w:val="000000"/>
          <w:kern w:val="0"/>
          <w:sz w:val="28"/>
          <w:szCs w:val="28"/>
          <w14:ligatures w14:val="none"/>
        </w:rPr>
        <w:lastRenderedPageBreak/>
        <w:t>обов’язковим зазначенням уніфікованих метаданих та структури шарів [18, с. 39].</w:t>
      </w:r>
    </w:p>
    <w:p w14:paraId="011D52D4" w14:textId="322A98AA"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Цифровізація</w:t>
      </w:r>
      <w:r w:rsidRPr="002015DF">
        <w:rPr>
          <w:rFonts w:ascii="Times New Roman" w:eastAsia="Calibri" w:hAnsi="Times New Roman" w:cs="Times New Roman"/>
          <w:color w:val="000000"/>
          <w:kern w:val="0"/>
          <w:sz w:val="28"/>
          <w:szCs w:val="28"/>
          <w14:ligatures w14:val="none"/>
        </w:rPr>
        <w:t xml:space="preserve"> даних є наступною фазою, що забезпечує інтеграцію інформації до державних кадастрових систем. На цьому етапі здійснюється перетворення картографічних та табличних матеріалів у машиночитані формати з використанням систем керування базами геопросторових даних (PostGIS, Oracle Spatial, GeoPackage), формуються структуровані файли у форматах SHP (shapefile) для геометрії, DBF для атрибутів, а також XML-файли для внесення даних до автоматизованої системи Державного земельного кадастру через Публічну кадастрову карту. XML-файли генеруються за шаблонами, затвердженими Держгеокадастром, і містять повний набір відомостей про земельні ділянки: кадастровий номер, площу, контур, координати, функціональне призначення, цільове використання, категорію земель, наявність обмежень, дані про власника або користувача. Ці файли проходять попередню перевірку через автоматизовані валідаційні програми, які аналізують їхню структурну правильність, відповідність полям, логічну цілісність та унікальність об’єктів. Помилки, виявлені на цьому етапі, усуваються вручну за допомогою XML-редакторів або систем типу GeoCadastreTools</w:t>
      </w:r>
      <w:r w:rsidR="00AB3BD6">
        <w:rPr>
          <w:rFonts w:ascii="Times New Roman" w:eastAsia="Calibri" w:hAnsi="Times New Roman" w:cs="Times New Roman"/>
          <w:color w:val="000000"/>
          <w:kern w:val="0"/>
          <w:sz w:val="28"/>
          <w:szCs w:val="28"/>
          <w14:ligatures w14:val="none"/>
        </w:rPr>
        <w:t xml:space="preserve"> (рисунок 2.1)</w:t>
      </w:r>
      <w:r w:rsidRPr="002015DF">
        <w:rPr>
          <w:rFonts w:ascii="Times New Roman" w:eastAsia="Calibri" w:hAnsi="Times New Roman" w:cs="Times New Roman"/>
          <w:color w:val="000000"/>
          <w:kern w:val="0"/>
          <w:sz w:val="28"/>
          <w:szCs w:val="28"/>
          <w14:ligatures w14:val="none"/>
        </w:rPr>
        <w:t>.</w:t>
      </w:r>
    </w:p>
    <w:p w14:paraId="5CFF42CA" w14:textId="77777777" w:rsidR="002015DF" w:rsidRPr="002015DF" w:rsidRDefault="002015DF" w:rsidP="002015DF">
      <w:pPr>
        <w:spacing w:after="0" w:line="360" w:lineRule="auto"/>
        <w:ind w:firstLine="706"/>
        <w:jc w:val="center"/>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noProof/>
          <w:kern w:val="0"/>
          <w:sz w:val="28"/>
          <w:lang w:val="ru-RU" w:eastAsia="ru-RU"/>
          <w14:ligatures w14:val="none"/>
        </w:rPr>
        <w:lastRenderedPageBreak/>
        <w:drawing>
          <wp:inline distT="0" distB="0" distL="0" distR="0" wp14:anchorId="74826967" wp14:editId="4A1286E8">
            <wp:extent cx="5549344" cy="3620659"/>
            <wp:effectExtent l="0" t="0" r="0" b="0"/>
            <wp:docPr id="1590585057" name="Рисунок 1" descr="Зображення, що містить текст, схема, знімок екрана, Шрифт&#10;&#10;Вміст, створений ШІ, може бути неправильни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585057" name="Рисунок 1" descr="Зображення, що містить текст, схема, знімок екрана, Шрифт&#10;&#10;Вміст, створений ШІ, може бути неправильним."/>
                    <pic:cNvPicPr/>
                  </pic:nvPicPr>
                  <pic:blipFill>
                    <a:blip r:embed="rId12"/>
                    <a:stretch>
                      <a:fillRect/>
                    </a:stretch>
                  </pic:blipFill>
                  <pic:spPr>
                    <a:xfrm>
                      <a:off x="0" y="0"/>
                      <a:ext cx="5557106" cy="3625723"/>
                    </a:xfrm>
                    <a:prstGeom prst="rect">
                      <a:avLst/>
                    </a:prstGeom>
                  </pic:spPr>
                </pic:pic>
              </a:graphicData>
            </a:graphic>
          </wp:inline>
        </w:drawing>
      </w:r>
    </w:p>
    <w:p w14:paraId="47B22CEE" w14:textId="77777777" w:rsidR="002015DF" w:rsidRPr="002015DF" w:rsidRDefault="002015DF" w:rsidP="002015DF">
      <w:pPr>
        <w:spacing w:after="0" w:line="360" w:lineRule="auto"/>
        <w:ind w:firstLine="706"/>
        <w:jc w:val="center"/>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Рисунок 2.1 – Процес </w:t>
      </w:r>
      <w:r w:rsidRPr="002015DF">
        <w:rPr>
          <w:rFonts w:ascii="Times New Roman" w:eastAsia="Calibri" w:hAnsi="Times New Roman" w:cs="Times New Roman"/>
          <w:color w:val="000000"/>
          <w:kern w:val="0"/>
          <w:sz w:val="28"/>
          <w:szCs w:val="28"/>
          <w14:ligatures w14:val="none"/>
        </w:rPr>
        <w:t>цифровізації даних у державних кадастрових системах</w:t>
      </w:r>
    </w:p>
    <w:p w14:paraId="19727AD5"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57DF0516"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Інтеграція до кадастрових систем здійснюється через подання матеріалів до територіальних підрозділів </w:t>
      </w:r>
      <w:r w:rsidRPr="002015DF">
        <w:rPr>
          <w:rFonts w:ascii="Times New Roman" w:eastAsia="Calibri" w:hAnsi="Times New Roman" w:cs="Times New Roman"/>
          <w:color w:val="000000"/>
          <w:kern w:val="0"/>
          <w:sz w:val="28"/>
          <w:szCs w:val="28"/>
          <w14:ligatures w14:val="none"/>
        </w:rPr>
        <w:t>Держгеокадастру або через електронний портал надання адміністративних послуг у сфері землеустрою. Подання здійснюється виконавцем або замовником інвентаризаційних робіт відповідно до статті 21 Закону України «Про державний земельний кадастр». При поданні матеріалів у паперовому вигляді додаються також електронні носії з дублікатами всіх матеріалів, а при поданні через онлайн-платформу - файли завантажуються до системи в зашифрованому вигляді з використанням електронного цифрового підпису. Працівники кадастрового органу здійснюють перевірку правильності внесених даних, їхню відповідність з графічною частиною, підтвердження наявності необхідних атрибутів, координатних значень, а також відсутність конфліктів з суміжними ділянками або вже зареєстрованими об’єктами. У разі позитивного результату дані вносяться до бази ДЗК, де вони отримують статус офіційно зареєстрованих і стають частиною публічної кадастрової карти з можливістю перевірки через інтерфейс для користувачів.</w:t>
      </w:r>
    </w:p>
    <w:p w14:paraId="21D2F051"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lastRenderedPageBreak/>
        <w:t xml:space="preserve">Окремо варто зазначити, що база </w:t>
      </w:r>
      <w:r w:rsidRPr="002015DF">
        <w:rPr>
          <w:rFonts w:ascii="Times New Roman" w:eastAsia="Calibri" w:hAnsi="Times New Roman" w:cs="Times New Roman"/>
          <w:color w:val="000000"/>
          <w:kern w:val="0"/>
          <w:sz w:val="28"/>
          <w:szCs w:val="28"/>
          <w14:ligatures w14:val="none"/>
        </w:rPr>
        <w:t>геопросторових даних, яка створюється в ході інвентаризації, є не лише набором інформації для одноразового використання, а частиною системи управління територіальними ресурсами. Вона дозволяє здійснювати просторове моделювання, проводити сценарний аналіз, оптимізувати зонування, прогнозувати наслідки зміни цільового використання, здійснювати екологічну та економічну оцінку. Наприклад, аналіз геометрії та структури землекористування за допомогою геоінформаційних систем (ГІС) дозволяє виявити території з низьким рівнем освоєності, дублювання меж, конфлікти цільового використання, доступність інфраструктури, потенціал для інвестиційного залучення. Ці дані інтегруються до регіональних геопорталів, систем підтримки управлінських рішень, моделей зонування та містобудівної документації. Таким чином, результат інвентаризації не є лише завершеним актом, а динамічним ресурсом, що підлягає постійному оновленню, актуалізації, валідації і повторному використанню в межах усіх процесів просторового управління [56, с. 85].</w:t>
      </w:r>
    </w:p>
    <w:p w14:paraId="345A064E"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Завдяки цифровому поданню та інтеграції результатів інвентаризації до кадастрових систем держава отримує можливість ефективного контролю за земельними ресурсами, оперативного реагування на зміни, виявлення несанкціонованих змін меж, використання ділянок не за призначенням, а також оцінювання просторових ризиків і перспектив. Для забезпечення сумісності </w:t>
      </w:r>
      <w:r w:rsidRPr="002015DF">
        <w:rPr>
          <w:rFonts w:ascii="Times New Roman" w:eastAsia="Calibri" w:hAnsi="Times New Roman" w:cs="Times New Roman"/>
          <w:color w:val="000000"/>
          <w:kern w:val="0"/>
          <w:sz w:val="28"/>
          <w:szCs w:val="28"/>
          <w14:ligatures w14:val="none"/>
        </w:rPr>
        <w:t>даних та довготривалого їх використання формується архівна структура з копіями матеріалів в обов’язковому порядку зберігання - як у Держгеокадастрі, так і в органах місцевого самоврядування. У разі реалізації геопортальних систем, інтегрованих з кадастровими базами, передбачається можливість відкритого доступу до некомерційної частини даних, що забезпечує прозорість, залучення громадськості до планування, громадський контроль за землекористуванням та підвищення правової відповідальності суб’єктів господарювання.</w:t>
      </w:r>
    </w:p>
    <w:p w14:paraId="7CB09E9F" w14:textId="22F24A80" w:rsid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4420DB5A" w14:textId="77777777" w:rsidR="00210A26" w:rsidRPr="002015DF" w:rsidRDefault="00210A26"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1EC2341F" w14:textId="77777777" w:rsidR="002015DF" w:rsidRPr="002015DF" w:rsidRDefault="002015DF" w:rsidP="002015DF">
      <w:pPr>
        <w:spacing w:after="0" w:line="360" w:lineRule="auto"/>
        <w:ind w:firstLine="706"/>
        <w:jc w:val="both"/>
        <w:outlineLvl w:val="1"/>
        <w:rPr>
          <w:rFonts w:ascii="Times New Roman" w:eastAsia="Calibri" w:hAnsi="Times New Roman" w:cs="Times New Roman"/>
          <w:b/>
          <w:color w:val="000000"/>
          <w:kern w:val="0"/>
          <w:sz w:val="28"/>
          <w:szCs w:val="28"/>
          <w14:ligatures w14:val="none"/>
        </w:rPr>
      </w:pPr>
      <w:bookmarkStart w:id="11" w:name="_Toc194707112"/>
      <w:r w:rsidRPr="002015DF">
        <w:rPr>
          <w:rFonts w:ascii="Times New Roman" w:eastAsia="Times New Roman" w:hAnsi="Times New Roman" w:cs="Times New Roman"/>
          <w:b/>
          <w:color w:val="000000"/>
          <w:kern w:val="0"/>
          <w:sz w:val="28"/>
          <w:szCs w:val="28"/>
          <w14:ligatures w14:val="none"/>
        </w:rPr>
        <w:lastRenderedPageBreak/>
        <w:t xml:space="preserve">2.2 </w:t>
      </w:r>
      <w:r w:rsidRPr="002015DF">
        <w:rPr>
          <w:rFonts w:ascii="Times New Roman" w:eastAsia="Calibri" w:hAnsi="Times New Roman" w:cs="Times New Roman"/>
          <w:b/>
          <w:bCs/>
          <w:color w:val="000000"/>
          <w:kern w:val="0"/>
          <w:sz w:val="28"/>
          <w:szCs w:val="28"/>
          <w14:ligatures w14:val="none"/>
        </w:rPr>
        <w:t>Особливості інвентаризації земель сільськогосподарського призначення державної та комунальної власності</w:t>
      </w:r>
      <w:bookmarkEnd w:id="11"/>
    </w:p>
    <w:p w14:paraId="03950C0E" w14:textId="77777777" w:rsidR="00210A26" w:rsidRDefault="00210A26" w:rsidP="002015DF">
      <w:pPr>
        <w:spacing w:after="0" w:line="360" w:lineRule="auto"/>
        <w:ind w:firstLine="706"/>
        <w:jc w:val="both"/>
        <w:rPr>
          <w:rFonts w:ascii="Times New Roman" w:eastAsia="Times New Roman" w:hAnsi="Times New Roman" w:cs="Times New Roman"/>
          <w:color w:val="000000"/>
          <w:kern w:val="0"/>
          <w:sz w:val="28"/>
          <w:szCs w:val="28"/>
          <w14:ligatures w14:val="none"/>
        </w:rPr>
      </w:pPr>
    </w:p>
    <w:p w14:paraId="6E345EEC" w14:textId="77777777" w:rsidR="00210A26" w:rsidRDefault="00210A26" w:rsidP="002015DF">
      <w:pPr>
        <w:spacing w:after="0" w:line="360" w:lineRule="auto"/>
        <w:ind w:firstLine="706"/>
        <w:jc w:val="both"/>
        <w:rPr>
          <w:rFonts w:ascii="Times New Roman" w:eastAsia="Times New Roman" w:hAnsi="Times New Roman" w:cs="Times New Roman"/>
          <w:color w:val="000000"/>
          <w:kern w:val="0"/>
          <w:sz w:val="28"/>
          <w:szCs w:val="28"/>
          <w14:ligatures w14:val="none"/>
        </w:rPr>
      </w:pPr>
    </w:p>
    <w:p w14:paraId="1B565491" w14:textId="6A2A8642"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Інвентаризація земель сільськогосподарського призначення, що перебувають у державній і комунальній власності, в умовах сучасної трансформації земельних відносин в Україні постає як інструмент виявлення, фіксації та нормативного впорядкування просторових та правових характеристик аграрних угідь, що знаходяться поза ефективним обігом. У результаті тривалого функціонування адміністративно-розподільчої моделі управління значна частина державного земельного фонду втратила зв’язок із правовими реєстрами, перебуває в невизначеному стані або використовується без оформлення відповідних </w:t>
      </w:r>
      <w:r w:rsidRPr="002015DF">
        <w:rPr>
          <w:rFonts w:ascii="Times New Roman" w:eastAsia="Calibri" w:hAnsi="Times New Roman" w:cs="Times New Roman"/>
          <w:color w:val="000000"/>
          <w:kern w:val="0"/>
          <w:sz w:val="28"/>
          <w:szCs w:val="28"/>
          <w14:ligatures w14:val="none"/>
        </w:rPr>
        <w:t>право</w:t>
      </w:r>
      <w:r w:rsidR="00210A26">
        <w:rPr>
          <w:rFonts w:ascii="Times New Roman" w:eastAsia="Calibri" w:hAnsi="Times New Roman" w:cs="Times New Roman"/>
          <w:color w:val="000000"/>
          <w:kern w:val="0"/>
          <w:sz w:val="28"/>
          <w:szCs w:val="28"/>
          <w14:ligatures w14:val="none"/>
        </w:rPr>
        <w:t xml:space="preserve"> </w:t>
      </w:r>
      <w:r w:rsidRPr="002015DF">
        <w:rPr>
          <w:rFonts w:ascii="Times New Roman" w:eastAsia="Calibri" w:hAnsi="Times New Roman" w:cs="Times New Roman"/>
          <w:color w:val="000000"/>
          <w:kern w:val="0"/>
          <w:sz w:val="28"/>
          <w:szCs w:val="28"/>
          <w14:ligatures w14:val="none"/>
        </w:rPr>
        <w:t>встановлювальних документів. За даними Державної служби з питань геодезії, картографії та кадастру станом на кінець 2023 року виявлено понад 1,4 млн гектарів державних земель сільськогосподарського призначення, які не мають кадастрових номерів, не внесені до державного земельного кадастру або мають суперечливу правову інформацію. Значна частина цих земель фактично обробляється приватними аграрними підприємствами без оформлених правових підстав, що призводить до втрат надходжень до бюджетів, несанкціонованого використання, зниження екологічної стійкості агроландшафтів та юридичної невизначеності щодо контролю [49, с. 16].</w:t>
      </w:r>
    </w:p>
    <w:p w14:paraId="59F70735"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Особливості інвентаризації таких земель полягають у складності верифікації правового статусу, </w:t>
      </w:r>
      <w:r w:rsidRPr="002015DF">
        <w:rPr>
          <w:rFonts w:ascii="Times New Roman" w:eastAsia="Calibri" w:hAnsi="Times New Roman" w:cs="Times New Roman"/>
          <w:color w:val="000000"/>
          <w:kern w:val="0"/>
          <w:sz w:val="28"/>
          <w:szCs w:val="28"/>
          <w14:ligatures w14:val="none"/>
        </w:rPr>
        <w:t xml:space="preserve">фрагментованості геоданих, відсутності єдиного органу, відповідального за управління цими ресурсами на національному рівні. Землі перебувають у віданні різних міністерств, державних підприємств, навчальних закладів, дослідних станцій, що унеможливлює пряме адміністрування без попереднього узгодження інституційної відповідальності. Процедура інвентаризації в цьому контексті виконує функцію юридичного аудитингу: здійснюється збір інформації про фактичне землекористування, </w:t>
      </w:r>
      <w:r w:rsidRPr="002015DF">
        <w:rPr>
          <w:rFonts w:ascii="Times New Roman" w:eastAsia="Calibri" w:hAnsi="Times New Roman" w:cs="Times New Roman"/>
          <w:color w:val="000000"/>
          <w:kern w:val="0"/>
          <w:sz w:val="28"/>
          <w:szCs w:val="28"/>
          <w14:ligatures w14:val="none"/>
        </w:rPr>
        <w:lastRenderedPageBreak/>
        <w:t>геодезичне обстеження ділянок, уточнення меж, документування способу використання, аналіз відповідності категорій і цільового призначення фактичній функціональності. Фіксація координат меж проводиться за допомогою GNSS-приймачів, дронів з фотограмметричними модулями, супутникових знімків із роздільною здатністю 0,3–1 метр, а дані верифікуються з публічною кадастровою картою, базами Реєстру речових прав і архівними картами радянського періоду. Така інвентаризація супроводжується складанням технічних паспортів земель, у яких зазначаються площа, культура обробітку, наявність інфраструктури, рівень деградації ґрунтів, форма власності, ідентифікація обробника [21, с. 6].</w:t>
      </w:r>
    </w:p>
    <w:p w14:paraId="74DC4F7F"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Невикористання аграрних земель державної та комунальної власності є багатовимірною проблемою. Частина з них не використовується через відсутність </w:t>
      </w:r>
      <w:r w:rsidRPr="002015DF">
        <w:rPr>
          <w:rFonts w:ascii="Times New Roman" w:eastAsia="Calibri" w:hAnsi="Times New Roman" w:cs="Times New Roman"/>
          <w:color w:val="000000"/>
          <w:kern w:val="0"/>
          <w:sz w:val="28"/>
          <w:szCs w:val="28"/>
          <w14:ligatures w14:val="none"/>
        </w:rPr>
        <w:t>правовстановлювальної документації, частина - через екологічні обмеження, деградованість або застарілі межі, що не відповідають сучасному функціональному зонуванню. В умовах дії Закону України «Про обіг земель сільськогосподарського призначення» від 2021 року, неоформленість таких ділянок перешкоджає їх включенню до прозорих механізмів ринку землі, передачі в оренду через аукціон, або залученню до цільових державних програм. Інвентаризація дозволяє здійснити повну ревізію стану об’єктів державної та комунальної форми власності, актуалізувати дані, відобразити їх у геоінформаційних системах і передати до уповноважених органів для подальших управлінських дій. Визначення меж таких ділянок, присвоєння кадастрових номерів, уточнення функціонального призначення та правової належності - передумови для створення ефективної бази управління державними активами в аграрному секторі.</w:t>
      </w:r>
    </w:p>
    <w:p w14:paraId="42E2B3C5"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Окремою процедурною складовою інвентаризації таких земель є подання та передача даних до уповноважених органів. Згідно з вимогами Постанови Кабінету Міністрів України №1051 від 2011 року зі змінами, оновленими у 2020–2023 роках, матеріали інвентаризації готуються у структурованій формі та подаються до </w:t>
      </w:r>
      <w:r w:rsidRPr="002015DF">
        <w:rPr>
          <w:rFonts w:ascii="Times New Roman" w:eastAsia="Calibri" w:hAnsi="Times New Roman" w:cs="Times New Roman"/>
          <w:color w:val="000000"/>
          <w:kern w:val="0"/>
          <w:sz w:val="28"/>
          <w:szCs w:val="28"/>
          <w14:ligatures w14:val="none"/>
        </w:rPr>
        <w:t xml:space="preserve">Держгеокадастру або його територіальних органів у вигляді </w:t>
      </w:r>
      <w:r w:rsidRPr="002015DF">
        <w:rPr>
          <w:rFonts w:ascii="Times New Roman" w:eastAsia="Calibri" w:hAnsi="Times New Roman" w:cs="Times New Roman"/>
          <w:color w:val="000000"/>
          <w:kern w:val="0"/>
          <w:sz w:val="28"/>
          <w:szCs w:val="28"/>
          <w14:ligatures w14:val="none"/>
        </w:rPr>
        <w:lastRenderedPageBreak/>
        <w:t>комплекту: пояснювальна записка, графічні матеріали, електронні файли у форматах SHP, XML, PDF, які відповідають структурі бази даних державного земельного кадастру. Перед поданням здійснюється перевірка точності координат, унікальності кадастрових номерів, логічної відповідності атрибутів. У разі проходження перевірки ділянки вносяться до реєстру, їм присвоюються ідентифікатори, і вони стають частиною відкритої кадастрової інформації. Одночасно формується реєстраційний запис про право власності за державою або територіальною громадою. Якщо ділянка підлягає подальшій передачі - в оренду або безоплатну передачу юридичним особам публічного права - готується пакет документів, включаючи висновки щодо можливості цільового використання, відсутності обтяжень та прав третіх осіб [14, с. 4].</w:t>
      </w:r>
    </w:p>
    <w:p w14:paraId="0E17777E"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У контексті інвентаризації земель комунальної власності інституційна відповідальність покладається на органи місцевого самоврядування - сільські, селищні, міські ради, або об’єднані територіальні громади. Ці суб’єкти ініціюють інвентаризаційні роботи, формують технічні завдання, визначають виконавців та подають отримані дані до регіональних кадастрових підрозділів. Процес </w:t>
      </w:r>
      <w:r w:rsidRPr="002015DF">
        <w:rPr>
          <w:rFonts w:ascii="Times New Roman" w:eastAsia="Calibri" w:hAnsi="Times New Roman" w:cs="Times New Roman"/>
          <w:color w:val="000000"/>
          <w:kern w:val="0"/>
          <w:sz w:val="28"/>
          <w:szCs w:val="28"/>
          <w14:ligatures w14:val="none"/>
        </w:rPr>
        <w:t>ускладнюється через нестачу кваліфікованих спеціалістів у громадах, відсутність цифрових архівів, технічну неспроможність працювати з ГІС-системами, або наявність конфліктів інтересів при визначенні користувачів. Вирішення таких проблем передбачає централізовану підтримку - залучення обласних програм, субвенцій, підтримки через Державний фонд документації із землеустрою. Інвентаризація в громадах дозволяє не тільки відновити контроль над землями, а й забезпечити основу для формування бюджетної політики: введення в обіг ділянок, збільшення надходжень від оренди, удосконалення системи оподаткування, оптимізацію просторового планування, коригування генеральних планів і схем планування територій.</w:t>
      </w:r>
    </w:p>
    <w:p w14:paraId="354FD7F8"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Результати інвентаризації земель державної та комунальної власності мають бути інтегровані до національної інфраструктури </w:t>
      </w:r>
      <w:r w:rsidRPr="002015DF">
        <w:rPr>
          <w:rFonts w:ascii="Times New Roman" w:eastAsia="Calibri" w:hAnsi="Times New Roman" w:cs="Times New Roman"/>
          <w:color w:val="000000"/>
          <w:kern w:val="0"/>
          <w:sz w:val="28"/>
          <w:szCs w:val="28"/>
          <w14:ligatures w14:val="none"/>
        </w:rPr>
        <w:t xml:space="preserve">геопросторових даних відповідно до Закону України «Про національну інфраструктуру геопросторових даних» від 2020 року. Це означає, що всі відомості про межі, </w:t>
      </w:r>
      <w:r w:rsidRPr="002015DF">
        <w:rPr>
          <w:rFonts w:ascii="Times New Roman" w:eastAsia="Calibri" w:hAnsi="Times New Roman" w:cs="Times New Roman"/>
          <w:color w:val="000000"/>
          <w:kern w:val="0"/>
          <w:sz w:val="28"/>
          <w:szCs w:val="28"/>
          <w14:ligatures w14:val="none"/>
        </w:rPr>
        <w:lastRenderedPageBreak/>
        <w:t>категорії, обмеження, правовий статус мають бути узгоджені з базами геоданих Мінінфраструктури, Міндовкілля, Мінекономіки та інших центральних органів виконавчої влади. Така інтеграція дозволяє здійснювати крос-аналіз просторових характеристик з урахуванням транспортної доступності, екологічної вразливості, наявності інженерної інфраструктури, зон охорони культурної спадщини, що створює умови для системного стратегічного планування використання державного земельного ресурсу. При цьому кожна інвентаризована ділянка набуває статусу об’єкта просторового управління, який фіксується в цифрових геопорталах, є об'єктом моніторингу, може бути включений до публічних земельних аукціонів, програм рекультивації, охорони або залучення інвестора [57, с. 8].</w:t>
      </w:r>
    </w:p>
    <w:p w14:paraId="531D0B9A"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Інвентаризація земель сільськогосподарського призначення державної та комунальної власності виступає методологічним і правовим інструментом формування легітимної бази для подальшого розпорядження цими ресурсами в умовах децентралізації та лібералізації земельного ринку. З урахуванням специфіки аграрного сектору, розподілу функцій між органами державної влади, органами місцевого самоврядування та суб'єктами господарювання, процес передачі земель у користування, зміну їх функціонального призначення або включення в орендні відносини потребує попередньої оцінки фактичного землекористування, правового статусу та просторових параметрів. Вихідною позицією для здійснення таких трансакцій є створення юридично обґрунтованої, </w:t>
      </w:r>
      <w:r w:rsidRPr="002015DF">
        <w:rPr>
          <w:rFonts w:ascii="Times New Roman" w:eastAsia="Calibri" w:hAnsi="Times New Roman" w:cs="Times New Roman"/>
          <w:color w:val="000000"/>
          <w:kern w:val="0"/>
          <w:sz w:val="28"/>
          <w:szCs w:val="28"/>
          <w14:ligatures w14:val="none"/>
        </w:rPr>
        <w:t>кадастрово підтвердженої та просторово зафіксованої бази даних, яка підтверджує належність земель державі або громаді, фіксує межі та дозволяє ідентифікувати використання земель без належного оформлення. Саме інвентаризація виконує функцію верифікації правового режиму ділянок, забезпечує фіксацію параметрів землекористування, їх облікову прив'язку до відповідних територіальних одиниць і створення підґрунтя для прийняття управлінських рішень [28, с. 3].</w:t>
      </w:r>
    </w:p>
    <w:p w14:paraId="1C52E9DD" w14:textId="5279AAF1"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У сучасних умовах практичне значення інвентаризації земель державної та комунальної власності зосереджується навколо формування правового </w:t>
      </w:r>
      <w:r w:rsidRPr="002015DF">
        <w:rPr>
          <w:rFonts w:ascii="Times New Roman" w:eastAsia="Times New Roman" w:hAnsi="Times New Roman" w:cs="Times New Roman"/>
          <w:color w:val="000000"/>
          <w:kern w:val="0"/>
          <w:sz w:val="28"/>
          <w:szCs w:val="28"/>
          <w14:ligatures w14:val="none"/>
        </w:rPr>
        <w:lastRenderedPageBreak/>
        <w:t xml:space="preserve">підґрунтя для передачі земель в оренду або постійне користування на засадах прозорості та </w:t>
      </w:r>
      <w:r w:rsidRPr="002015DF">
        <w:rPr>
          <w:rFonts w:ascii="Times New Roman" w:eastAsia="Calibri" w:hAnsi="Times New Roman" w:cs="Times New Roman"/>
          <w:color w:val="000000"/>
          <w:kern w:val="0"/>
          <w:sz w:val="28"/>
          <w:szCs w:val="28"/>
          <w14:ligatures w14:val="none"/>
        </w:rPr>
        <w:t>конкурентності. Закон України «Про оренду землі», Закон «Про державну реєстрацію речових прав на нерухоме майно та їх обтяжень», а також Земельний кодекс України передбачають, що будь-яка операція з надання земель можлива лише за умови їх кадастрової реєстрації, наявності чітких меж, ідентифікованого правового статусу та підтвердження того, що ділянка не перебуває у приватній власності або не є об’єктом іншого права користування. Інвентаризаційні заходи дозволяють виявити невраховані землі, підготувати їх до внесення в публічну кадастрову систему, створити технічну документацію, присвоїти кадастрові номери, і лише після цього реалізувати їх через електронні земельні аукціони, передати для громадських потреб або змінити їх функціональне призначення. Така процедура забезпечує легітимність дій органів влади, дозволяє уникнути судових конфліктів, запобігає подвійній реєстрації і знижує ризики тіньового втручання в процес розпорядження землями</w:t>
      </w:r>
      <w:r w:rsidR="00210A26">
        <w:rPr>
          <w:rFonts w:ascii="Times New Roman" w:eastAsia="Calibri" w:hAnsi="Times New Roman" w:cs="Times New Roman"/>
          <w:color w:val="000000"/>
          <w:kern w:val="0"/>
          <w:sz w:val="28"/>
          <w:szCs w:val="28"/>
          <w14:ligatures w14:val="none"/>
        </w:rPr>
        <w:t xml:space="preserve"> (таблиця 2.2)</w:t>
      </w:r>
      <w:r w:rsidRPr="002015DF">
        <w:rPr>
          <w:rFonts w:ascii="Times New Roman" w:eastAsia="Calibri" w:hAnsi="Times New Roman" w:cs="Times New Roman"/>
          <w:color w:val="000000"/>
          <w:kern w:val="0"/>
          <w:sz w:val="28"/>
          <w:szCs w:val="28"/>
          <w14:ligatures w14:val="none"/>
        </w:rPr>
        <w:t>.</w:t>
      </w:r>
    </w:p>
    <w:p w14:paraId="33E291BC"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br w:type="page"/>
      </w:r>
    </w:p>
    <w:p w14:paraId="15FDB9F5" w14:textId="77777777" w:rsidR="002015DF" w:rsidRPr="002015DF" w:rsidRDefault="002015DF" w:rsidP="002015DF">
      <w:pPr>
        <w:spacing w:after="0" w:line="360" w:lineRule="auto"/>
        <w:ind w:firstLine="706"/>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lastRenderedPageBreak/>
        <w:t>Таблиця 2.2 – Практичне значення інвентаризації земель у контексті розпорядження державною та комунальною власністю</w:t>
      </w:r>
    </w:p>
    <w:tbl>
      <w:tblPr>
        <w:tblStyle w:val="ae"/>
        <w:tblW w:w="0" w:type="auto"/>
        <w:tblLook w:val="04A0" w:firstRow="1" w:lastRow="0" w:firstColumn="1" w:lastColumn="0" w:noHBand="0" w:noVBand="1"/>
      </w:tblPr>
      <w:tblGrid>
        <w:gridCol w:w="1868"/>
        <w:gridCol w:w="1869"/>
        <w:gridCol w:w="1869"/>
        <w:gridCol w:w="1869"/>
        <w:gridCol w:w="2155"/>
      </w:tblGrid>
      <w:tr w:rsidR="00C81213" w:rsidRPr="002015DF" w14:paraId="3564E44C" w14:textId="77777777" w:rsidTr="00CD4D98">
        <w:tc>
          <w:tcPr>
            <w:tcW w:w="1868" w:type="dxa"/>
          </w:tcPr>
          <w:p w14:paraId="7370D97B"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Етап процесу</w:t>
            </w:r>
          </w:p>
        </w:tc>
        <w:tc>
          <w:tcPr>
            <w:tcW w:w="1869" w:type="dxa"/>
          </w:tcPr>
          <w:p w14:paraId="4B544620"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Законодавча основа</w:t>
            </w:r>
          </w:p>
        </w:tc>
        <w:tc>
          <w:tcPr>
            <w:tcW w:w="1869" w:type="dxa"/>
          </w:tcPr>
          <w:p w14:paraId="7B130D51"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Опис дії або операції</w:t>
            </w:r>
          </w:p>
        </w:tc>
        <w:tc>
          <w:tcPr>
            <w:tcW w:w="1869" w:type="dxa"/>
          </w:tcPr>
          <w:p w14:paraId="24F2D882"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Вимоги до здійснення</w:t>
            </w:r>
          </w:p>
        </w:tc>
        <w:tc>
          <w:tcPr>
            <w:tcW w:w="1869" w:type="dxa"/>
          </w:tcPr>
          <w:p w14:paraId="1368C547"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Результат для земельної ділянки</w:t>
            </w:r>
          </w:p>
        </w:tc>
      </w:tr>
      <w:tr w:rsidR="00C81213" w:rsidRPr="002015DF" w14:paraId="0BF2FECD" w14:textId="77777777" w:rsidTr="00CD4D98">
        <w:tc>
          <w:tcPr>
            <w:tcW w:w="1868" w:type="dxa"/>
          </w:tcPr>
          <w:p w14:paraId="7A971797"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Виявлення неврахованих земель</w:t>
            </w:r>
          </w:p>
        </w:tc>
        <w:tc>
          <w:tcPr>
            <w:tcW w:w="1869" w:type="dxa"/>
          </w:tcPr>
          <w:p w14:paraId="1170EFD9"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Земельний кодекс України</w:t>
            </w:r>
          </w:p>
        </w:tc>
        <w:tc>
          <w:tcPr>
            <w:tcW w:w="1869" w:type="dxa"/>
          </w:tcPr>
          <w:p w14:paraId="34AE1234"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Аналіз не внесених до кадастру ділянок</w:t>
            </w:r>
          </w:p>
        </w:tc>
        <w:tc>
          <w:tcPr>
            <w:tcW w:w="1869" w:type="dxa"/>
          </w:tcPr>
          <w:p w14:paraId="14FD1B7A"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Відсутність правових суперечностей</w:t>
            </w:r>
          </w:p>
        </w:tc>
        <w:tc>
          <w:tcPr>
            <w:tcW w:w="1869" w:type="dxa"/>
          </w:tcPr>
          <w:p w14:paraId="4D13CED7"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Створення первинного реєстру</w:t>
            </w:r>
          </w:p>
        </w:tc>
      </w:tr>
      <w:tr w:rsidR="00C81213" w:rsidRPr="002015DF" w14:paraId="2F733DFD" w14:textId="77777777" w:rsidTr="00CD4D98">
        <w:tc>
          <w:tcPr>
            <w:tcW w:w="1868" w:type="dxa"/>
          </w:tcPr>
          <w:p w14:paraId="0425B925"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Кадастрова реєстрація</w:t>
            </w:r>
          </w:p>
        </w:tc>
        <w:tc>
          <w:tcPr>
            <w:tcW w:w="1869" w:type="dxa"/>
          </w:tcPr>
          <w:p w14:paraId="363C7C89"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Закон «Про ДРРП», Закон «Про державну реєстрацію...»</w:t>
            </w:r>
          </w:p>
        </w:tc>
        <w:tc>
          <w:tcPr>
            <w:tcW w:w="1869" w:type="dxa"/>
          </w:tcPr>
          <w:p w14:paraId="4982612C"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Формування технічної документації</w:t>
            </w:r>
          </w:p>
        </w:tc>
        <w:tc>
          <w:tcPr>
            <w:tcW w:w="1869" w:type="dxa"/>
          </w:tcPr>
          <w:p w14:paraId="29D6A0D0"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Існуючі межі, підтвердження статусу</w:t>
            </w:r>
          </w:p>
        </w:tc>
        <w:tc>
          <w:tcPr>
            <w:tcW w:w="1869" w:type="dxa"/>
          </w:tcPr>
          <w:p w14:paraId="29E41E83"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Присвоєння кадастрового номера</w:t>
            </w:r>
          </w:p>
        </w:tc>
      </w:tr>
      <w:tr w:rsidR="00C81213" w:rsidRPr="002015DF" w14:paraId="6A0FE2ED" w14:textId="77777777" w:rsidTr="00CD4D98">
        <w:tc>
          <w:tcPr>
            <w:tcW w:w="1868" w:type="dxa"/>
          </w:tcPr>
          <w:p w14:paraId="731DE7CD"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Публічність та прозорість</w:t>
            </w:r>
          </w:p>
        </w:tc>
        <w:tc>
          <w:tcPr>
            <w:tcW w:w="1869" w:type="dxa"/>
          </w:tcPr>
          <w:p w14:paraId="5D529BF5"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Закон «Про оренду землі», Земельний кодекс</w:t>
            </w:r>
          </w:p>
        </w:tc>
        <w:tc>
          <w:tcPr>
            <w:tcW w:w="1869" w:type="dxa"/>
          </w:tcPr>
          <w:p w14:paraId="4535E2D7"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Внесення у відкритий кадастр</w:t>
            </w:r>
          </w:p>
        </w:tc>
        <w:tc>
          <w:tcPr>
            <w:tcW w:w="1869" w:type="dxa"/>
          </w:tcPr>
          <w:p w14:paraId="3F4C2DF8"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Скан-копії документів, карта меж</w:t>
            </w:r>
          </w:p>
        </w:tc>
        <w:tc>
          <w:tcPr>
            <w:tcW w:w="1869" w:type="dxa"/>
          </w:tcPr>
          <w:p w14:paraId="688C5118"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Відображення на Публічній кадастровій карті</w:t>
            </w:r>
          </w:p>
        </w:tc>
      </w:tr>
      <w:tr w:rsidR="00C81213" w:rsidRPr="002015DF" w14:paraId="2F8D7491" w14:textId="77777777" w:rsidTr="00CD4D98">
        <w:tc>
          <w:tcPr>
            <w:tcW w:w="1868" w:type="dxa"/>
          </w:tcPr>
          <w:p w14:paraId="7E819CCC"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Підготовка до передачі або оренди</w:t>
            </w:r>
          </w:p>
        </w:tc>
        <w:tc>
          <w:tcPr>
            <w:tcW w:w="1869" w:type="dxa"/>
          </w:tcPr>
          <w:p w14:paraId="4D69443B"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Закон «Про оренду землі»</w:t>
            </w:r>
          </w:p>
        </w:tc>
        <w:tc>
          <w:tcPr>
            <w:tcW w:w="1869" w:type="dxa"/>
          </w:tcPr>
          <w:p w14:paraId="5A6B6AAB"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Формування пакету документів для аукціону</w:t>
            </w:r>
          </w:p>
        </w:tc>
        <w:tc>
          <w:tcPr>
            <w:tcW w:w="1869" w:type="dxa"/>
          </w:tcPr>
          <w:p w14:paraId="65E7F6CA"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Наявність меж, кадастрового номеру</w:t>
            </w:r>
          </w:p>
        </w:tc>
        <w:tc>
          <w:tcPr>
            <w:tcW w:w="1869" w:type="dxa"/>
          </w:tcPr>
          <w:p w14:paraId="0EF386F7"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Можливість легальної передачі прав користування</w:t>
            </w:r>
          </w:p>
        </w:tc>
      </w:tr>
      <w:tr w:rsidR="00C81213" w:rsidRPr="002015DF" w14:paraId="1303DA17" w14:textId="77777777" w:rsidTr="00CD4D98">
        <w:tc>
          <w:tcPr>
            <w:tcW w:w="1868" w:type="dxa"/>
          </w:tcPr>
          <w:p w14:paraId="60BDB96A"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Зміна цільового призначення</w:t>
            </w:r>
          </w:p>
        </w:tc>
        <w:tc>
          <w:tcPr>
            <w:tcW w:w="1869" w:type="dxa"/>
          </w:tcPr>
          <w:p w14:paraId="697EF012"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Земельний кодекс України</w:t>
            </w:r>
          </w:p>
        </w:tc>
        <w:tc>
          <w:tcPr>
            <w:tcW w:w="1869" w:type="dxa"/>
          </w:tcPr>
          <w:p w14:paraId="45CCD734"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Розгляд проєктів зміни функцій</w:t>
            </w:r>
          </w:p>
        </w:tc>
        <w:tc>
          <w:tcPr>
            <w:tcW w:w="1869" w:type="dxa"/>
          </w:tcPr>
          <w:p w14:paraId="5E68B89C"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Відповідність генплану або плану зонування</w:t>
            </w:r>
          </w:p>
        </w:tc>
        <w:tc>
          <w:tcPr>
            <w:tcW w:w="1869" w:type="dxa"/>
          </w:tcPr>
          <w:p w14:paraId="727F26E3"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Узгоджене перепрофілювання ділянки</w:t>
            </w:r>
          </w:p>
        </w:tc>
      </w:tr>
    </w:tbl>
    <w:p w14:paraId="4FD5B958" w14:textId="77777777" w:rsidR="00A050BC" w:rsidRDefault="00A050BC" w:rsidP="002015DF">
      <w:pPr>
        <w:spacing w:after="0" w:line="360" w:lineRule="auto"/>
        <w:ind w:firstLine="706"/>
        <w:jc w:val="both"/>
        <w:rPr>
          <w:rFonts w:ascii="Times New Roman" w:eastAsia="Calibri" w:hAnsi="Times New Roman" w:cs="Times New Roman"/>
          <w:color w:val="000000"/>
          <w:kern w:val="0"/>
          <w:sz w:val="28"/>
          <w:szCs w:val="28"/>
          <w:lang w:val="en-US"/>
          <w14:ligatures w14:val="none"/>
        </w:rPr>
      </w:pPr>
    </w:p>
    <w:p w14:paraId="17815F99" w14:textId="42764F8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Процедура зміни функціонального призначення земель державної чи комунальної власності вимагає чіткої відповідності з документацією з просторового планування - генеральними планами, схемами планування територій, детальними планами. У разі відсутності актуальних картографічних даних, невизначеності меж або фактичного невикористання земель, прийняття рішень про переведення земель із категорії «сільськогосподарського призначення» до інших (наприклад, під забудову, рекреацію, промисловість) стає юридично сумнівним. Інвентаризація виявляє реальний стан землекористування: чи відповідає ділянка своєму призначенню, чи фактично використовується не за функціональним навантаженням, чи є конфлікти з природоохоронним законодавством, чи можливе залучення такої території до змін у межах нормативного зонування. Дані, отримані під час інвентаризації, інтегруються до просторових геоінформаційних систем, дозволяють моделювати </w:t>
      </w:r>
      <w:r w:rsidRPr="002015DF">
        <w:rPr>
          <w:rFonts w:ascii="Times New Roman" w:eastAsia="Calibri" w:hAnsi="Times New Roman" w:cs="Times New Roman"/>
          <w:color w:val="000000"/>
          <w:kern w:val="0"/>
          <w:sz w:val="28"/>
          <w:szCs w:val="28"/>
          <w14:ligatures w14:val="none"/>
        </w:rPr>
        <w:t>зміни, погоджувати їх із кадастровими системами, екологічними базами та базами демографічного навантаження на територію [11, с. 10].</w:t>
      </w:r>
    </w:p>
    <w:p w14:paraId="593D2BED"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lastRenderedPageBreak/>
        <w:t xml:space="preserve">Фіксація фактичного землекористування, яка є ядром інвентаризаційного процесу, дозволяє ліквідувати правові та облікові прогалини, що стали підґрунтям для виникнення тіньових схем використання земель. У багатьох випадках державні та комунальні землі перебувають у фактичному користуванні сільськогосподарських підприємств, фермерів, приватних осіб без укладених договорів оренди, без реєстрації речових прав, або на підставі договорів, які втратили чинність, але не були оновлені. У результаті бюджети втрачають доходи від оренди, не здійснюється податкове адміністрування, а землі не підлягають контролю з боку громад, оскільки не відображені у кадастровій системі. Інвентаризація дозволяє не лише встановити факт такого використання, а й задокументувати площу, межі, характер обробітку, наявність капітальних об’єктів або обтяжень. Ці дані фіксуються у вигляді протоколів, актів, </w:t>
      </w:r>
      <w:r w:rsidRPr="002015DF">
        <w:rPr>
          <w:rFonts w:ascii="Times New Roman" w:eastAsia="Calibri" w:hAnsi="Times New Roman" w:cs="Times New Roman"/>
          <w:color w:val="000000"/>
          <w:kern w:val="0"/>
          <w:sz w:val="28"/>
          <w:szCs w:val="28"/>
          <w14:ligatures w14:val="none"/>
        </w:rPr>
        <w:t>фотофіксацій, координатної інформації, що дозволяє використовувати їх як доказову базу при врегулюванні питань через суд або адміністративний порядок.</w:t>
      </w:r>
    </w:p>
    <w:p w14:paraId="1ACAF78B"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Станом на 2023 рік значна частина територій, що підлягають такій інвентаризації, зосереджена у південних і східних регіонах України - Одеська, Миколаївська, Запорізька області - де площі неврахованих аграрних угідь державної форми власності можуть перевищувати 200 тис. гектарів на область. За оцінками аналітичних центрів, обсяг втрат місцевих бюджетів через неоформлені відносини щодо цих земель щорічно сягає від 1 до 1,5 мільярда гривень, що свідчить про системну потребу у фіксації фактичного використання, його правовій верифікації та включенні в орендні механізми. Інвентаризація в цьому контексті виступає елементом економічної безпеки громади, бо лише вона дозволяє повернути ресурси в обіг без потреби в судових спорах, через нормалізацію правового статусу та запуск публічних процедур розпорядження. Дані про фактичне використання вносяться в бази державного земельного кадастру, інтегруються з реєстрами податкової служби та органів місцевого </w:t>
      </w:r>
      <w:r w:rsidRPr="002015DF">
        <w:rPr>
          <w:rFonts w:ascii="Times New Roman" w:eastAsia="Calibri" w:hAnsi="Times New Roman" w:cs="Times New Roman"/>
          <w:color w:val="000000"/>
          <w:kern w:val="0"/>
          <w:sz w:val="28"/>
          <w:szCs w:val="28"/>
          <w14:ligatures w14:val="none"/>
        </w:rPr>
        <w:t xml:space="preserve">самоврядування, що створює повноцінну систему </w:t>
      </w:r>
      <w:r w:rsidRPr="002015DF">
        <w:rPr>
          <w:rFonts w:ascii="Times New Roman" w:eastAsia="Calibri" w:hAnsi="Times New Roman" w:cs="Times New Roman"/>
          <w:color w:val="000000"/>
          <w:kern w:val="0"/>
          <w:sz w:val="28"/>
          <w:szCs w:val="28"/>
          <w14:ligatures w14:val="none"/>
        </w:rPr>
        <w:lastRenderedPageBreak/>
        <w:t>просторово-фінансового контролю за розподілом аграрного потенціалу [2, с. 14].</w:t>
      </w:r>
    </w:p>
    <w:p w14:paraId="77875E2B" w14:textId="4D054A15"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На базі інвентаризації можливе також оновлення ієрархії пріоритетів при плануванні земельних реформ - виокремлення ділянок для реалізації програм молодіжного фермерства, </w:t>
      </w:r>
      <w:r w:rsidRPr="002015DF">
        <w:rPr>
          <w:rFonts w:ascii="Times New Roman" w:eastAsia="Calibri" w:hAnsi="Times New Roman" w:cs="Times New Roman"/>
          <w:color w:val="000000"/>
          <w:kern w:val="0"/>
          <w:sz w:val="28"/>
          <w:szCs w:val="28"/>
          <w14:ligatures w14:val="none"/>
        </w:rPr>
        <w:t>агротехнопарків, біоенергетичних кластерів, заліснення або агроекологічної реконструкції. Це дозволяє не лише усунути зловживання і тіньові схеми, а й забезпечити перехід до стратегічного просторового планування. Результати інвентаризації виводяться в єдиний електронний реєстр земель публічного сектору, а подальші операції - зміна функціонального призначення, оренда, передача - проводяться виключно через систему Prozorro.</w:t>
      </w:r>
      <w:r w:rsidR="00C241DC" w:rsidRPr="00C241DC">
        <w:rPr>
          <w:rFonts w:ascii="Times New Roman" w:eastAsia="Calibri" w:hAnsi="Times New Roman" w:cs="Times New Roman"/>
          <w:color w:val="000000"/>
          <w:kern w:val="0"/>
          <w:sz w:val="28"/>
          <w:szCs w:val="28"/>
          <w14:ligatures w14:val="none"/>
        </w:rPr>
        <w:t xml:space="preserve"> </w:t>
      </w:r>
      <w:r w:rsidRPr="002015DF">
        <w:rPr>
          <w:rFonts w:ascii="Times New Roman" w:eastAsia="Calibri" w:hAnsi="Times New Roman" w:cs="Times New Roman"/>
          <w:color w:val="000000"/>
          <w:kern w:val="0"/>
          <w:sz w:val="28"/>
          <w:szCs w:val="28"/>
          <w14:ligatures w14:val="none"/>
        </w:rPr>
        <w:t>Продажі, що унеможливлює корупційні маніпуляції та гарантує ринкову вартість ресурсів. Сам факт зафіксованого фактичного землекористування стає підставою для прийняття рішень про передачу ділянок за наявності оформлених прав, або про примусове повернення ділянок державі у разі відсутності правових підстав використання.</w:t>
      </w:r>
    </w:p>
    <w:p w14:paraId="1F348D30"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Загальна методика проведення такої інвентаризації базується на застосуванні сучасних технологій - дистанційного зондування, фотограмметрії, безпілотного моніторингу, цифрової </w:t>
      </w:r>
      <w:r w:rsidRPr="002015DF">
        <w:rPr>
          <w:rFonts w:ascii="Times New Roman" w:eastAsia="Calibri" w:hAnsi="Times New Roman" w:cs="Times New Roman"/>
          <w:color w:val="000000"/>
          <w:kern w:val="0"/>
          <w:sz w:val="28"/>
          <w:szCs w:val="28"/>
          <w14:ligatures w14:val="none"/>
        </w:rPr>
        <w:t>геоаналітики. Це дозволяє обстежити великі масиви земель за короткий термін, створити детальні цифрові карти використання, визначити зони інтенсивного обробітку, виявити зміни за попередні роки та скласти прогнози деградації, ерозії або зниження продуктивності. Система координат УСК-2000, обов’язкова для фіксації меж, забезпечує точність у межах 0,1–0,3 метра, а застосування ГІС-систем дає змогу автоматично фіксувати порушення меж або зміщення об’єктів. Після завершення інвентаризаційних заходів усі матеріали (технічні звіти, картограми, таблиці атрибутів, метадані, фотозвіти) передаються до органів, уповноважених на управління відповідними ділянками, а згодом - інтегруються до інфраструктури геопросторових даних України, відповідно до Закону «Про національну інфраструктуру геопросторових даних».</w:t>
      </w:r>
    </w:p>
    <w:p w14:paraId="3E191DC4" w14:textId="6E11E805" w:rsid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3FFF083E" w14:textId="77777777" w:rsidR="00210A26" w:rsidRPr="002015DF" w:rsidRDefault="00210A26"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6497ABF0" w14:textId="77777777" w:rsidR="002015DF" w:rsidRPr="002015DF" w:rsidRDefault="002015DF" w:rsidP="002015DF">
      <w:pPr>
        <w:spacing w:after="0" w:line="360" w:lineRule="auto"/>
        <w:ind w:firstLine="706"/>
        <w:jc w:val="both"/>
        <w:outlineLvl w:val="1"/>
        <w:rPr>
          <w:rFonts w:ascii="Times New Roman" w:eastAsia="Calibri" w:hAnsi="Times New Roman" w:cs="Times New Roman"/>
          <w:b/>
          <w:color w:val="000000"/>
          <w:kern w:val="0"/>
          <w:sz w:val="28"/>
          <w:szCs w:val="28"/>
          <w14:ligatures w14:val="none"/>
        </w:rPr>
      </w:pPr>
      <w:bookmarkStart w:id="12" w:name="_Toc194707113"/>
      <w:r w:rsidRPr="002015DF">
        <w:rPr>
          <w:rFonts w:ascii="Times New Roman" w:eastAsia="Times New Roman" w:hAnsi="Times New Roman" w:cs="Times New Roman"/>
          <w:b/>
          <w:color w:val="000000"/>
          <w:kern w:val="0"/>
          <w:sz w:val="28"/>
          <w:szCs w:val="28"/>
          <w14:ligatures w14:val="none"/>
        </w:rPr>
        <w:t xml:space="preserve">2.3 </w:t>
      </w:r>
      <w:r w:rsidRPr="002015DF">
        <w:rPr>
          <w:rFonts w:ascii="Times New Roman" w:eastAsia="Calibri" w:hAnsi="Times New Roman" w:cs="Times New Roman"/>
          <w:b/>
          <w:bCs/>
          <w:color w:val="000000"/>
          <w:kern w:val="0"/>
          <w:sz w:val="28"/>
          <w:szCs w:val="28"/>
          <w14:ligatures w14:val="none"/>
        </w:rPr>
        <w:t>Виявлення невикористаних, неоформлених та неефективно використаних земельних ділянок за результатами інвентаризації</w:t>
      </w:r>
      <w:bookmarkEnd w:id="12"/>
    </w:p>
    <w:p w14:paraId="3D918737" w14:textId="77777777" w:rsidR="00210A26" w:rsidRDefault="00210A26" w:rsidP="002015DF">
      <w:pPr>
        <w:spacing w:after="0" w:line="360" w:lineRule="auto"/>
        <w:ind w:firstLine="706"/>
        <w:jc w:val="both"/>
        <w:rPr>
          <w:rFonts w:ascii="Times New Roman" w:eastAsia="Times New Roman" w:hAnsi="Times New Roman" w:cs="Times New Roman"/>
          <w:color w:val="000000"/>
          <w:kern w:val="0"/>
          <w:sz w:val="28"/>
          <w:szCs w:val="28"/>
          <w14:ligatures w14:val="none"/>
        </w:rPr>
      </w:pPr>
    </w:p>
    <w:p w14:paraId="115F044C" w14:textId="77777777" w:rsidR="00210A26" w:rsidRDefault="00210A26" w:rsidP="002015DF">
      <w:pPr>
        <w:spacing w:after="0" w:line="360" w:lineRule="auto"/>
        <w:ind w:firstLine="706"/>
        <w:jc w:val="both"/>
        <w:rPr>
          <w:rFonts w:ascii="Times New Roman" w:eastAsia="Times New Roman" w:hAnsi="Times New Roman" w:cs="Times New Roman"/>
          <w:color w:val="000000"/>
          <w:kern w:val="0"/>
          <w:sz w:val="28"/>
          <w:szCs w:val="28"/>
          <w14:ligatures w14:val="none"/>
        </w:rPr>
      </w:pPr>
    </w:p>
    <w:p w14:paraId="29ABF7D2" w14:textId="12FD101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Виявлення невикористаних, неоформлених або неефективно використаних земельних ділянок є пріоритетним результатом інвентаризації земельного фонду, що дозволяє ідентифікувати проблемні сегменти у структурі землекористування державної та комунальної власності. Такий аналіз здійснюється на основі просторової фіксації ділянок, порівняння геометричних параметрів з інформацією, наявною в державному земельному кадастрі, а також на підставі супутникового моніторингу, фотограмметричних даних, реєстрів прав власності та польових обстежень. У процесі виявлення проблемних земель в Україні виокремлюються три ключові категорії: ділянки без правового оформлення, ділянки з ознаками неефективного використання та ділянки, які фактично виведені з аграрного обігу. Землі без правового оформлення охоплюють ділянки, що використовуються без укладених договорів оренди або без зареєстрованих прав власності; серед них часто трапляються самовільно зайняті землі, особливо на периферіях населених пунктів та в зонах транзиту сільськогосподарської продукції. Такі випадки підтверджуються даними Державної служби з питань геодезії, картографії та кадастру, яка у 2023 році зафіксувала понад 650 тис. гектарів земель з ознаками самовільного використання без кадастрового номера та без укладених договорів </w:t>
      </w:r>
    </w:p>
    <w:p w14:paraId="454F00C4"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Друга категорія - ділянки з ознаками неефективного використання - охоплює землі, які використовуються не за цільовим призначенням або з низьким коефіцієнтом продуктивного навантаження. Типовими ознаками неефективності є тривале </w:t>
      </w:r>
      <w:r w:rsidRPr="002015DF">
        <w:rPr>
          <w:rFonts w:ascii="Times New Roman" w:eastAsia="Calibri" w:hAnsi="Times New Roman" w:cs="Times New Roman"/>
          <w:color w:val="000000"/>
          <w:kern w:val="0"/>
          <w:sz w:val="28"/>
          <w:szCs w:val="28"/>
          <w14:ligatures w14:val="none"/>
        </w:rPr>
        <w:t xml:space="preserve">незасівання угідь, використання земель для розміщення складів, стоянок або технічних об'єктів замість агровиробництва, наявність ознак деградації ґрунтів, надмірна фрагментація ділянок та зниження валового збору продукції порівняно з нормативною урожайністю. За даними </w:t>
      </w:r>
      <w:r w:rsidRPr="002015DF">
        <w:rPr>
          <w:rFonts w:ascii="Times New Roman" w:eastAsia="Calibri" w:hAnsi="Times New Roman" w:cs="Times New Roman"/>
          <w:color w:val="000000"/>
          <w:kern w:val="0"/>
          <w:sz w:val="28"/>
          <w:szCs w:val="28"/>
          <w14:ligatures w14:val="none"/>
        </w:rPr>
        <w:lastRenderedPageBreak/>
        <w:t>Міністерства аграрної політики та продовольства, у 2022 році площа земель, які оброблялися зі зниженим навантаженням (менше ніж 0,4 коефіцієнта агровикористання), склала понад 890 тис. гектарів. Третя категорія охоплює землі, фактично виведені з обігу, тобто ті, що не використовуються понад 5 років, мають ознаки природного заростання, підтоплення, засолення або ерозійного пошкодження. Виявлення таких ділянок здійснюється за допомогою аналізу NDVI-індексів рослинного покриву, цифрових моделей рельєфу та супутникових знімків із просторовою роздільною здатністю 0,5–1 метр. За експертними оцінками, таких земель в Україні щонайменше 1,3 млн гектарів, з яких понад 250 тис. гектарів знаходяться в Одеській, Херсонській та Миколаївській областях.</w:t>
      </w:r>
    </w:p>
    <w:p w14:paraId="02DD3201"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Формалізація результатів інвентаризації в частині виявлення проблемних ділянок супроводжується створенням спеціалізованих картограм, таблиць порушень, аналітичних звітів та підготовкою документів для подальших адміністративних або судових дій. Підставою для таких дій є виявлення порушень земельного законодавства - зокрема, використання земель без правовстановлюючих документів, зміна цільового призначення без погодження, ухилення від орендної плати, руйнування ґрунтового покриву та ігнорування вимог екологічного законодавства. Ініціатива щодо усунення таких порушень належить органам місцевого самоврядування, територіальним підрозділам </w:t>
      </w:r>
      <w:r w:rsidRPr="002015DF">
        <w:rPr>
          <w:rFonts w:ascii="Times New Roman" w:eastAsia="Calibri" w:hAnsi="Times New Roman" w:cs="Times New Roman"/>
          <w:color w:val="000000"/>
          <w:kern w:val="0"/>
          <w:sz w:val="28"/>
          <w:szCs w:val="28"/>
          <w14:ligatures w14:val="none"/>
        </w:rPr>
        <w:t>Держгеокадастру, органам Державної екологічної інспекції, а також податковим органам у разі втрат надходжень до бюджетів. Відповідно до статей 211, 212 та 213 Земельного кодексу України, такі дії передбачають складення актів перевірки, направлення приписів про усунення порушень, накладення штрафів та ініціювання судових проваджень щодо примусового повернення земель до державної або комунальної власності [8, с. 6].</w:t>
      </w:r>
    </w:p>
    <w:p w14:paraId="7AD3F8D2"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Розрахунки втрат від неоформленого або неефективного використання земель є важливим аргументом при прийнятті управлінських рішень. Для умовного прикладу розрахуємо річну втрату орендної плати з 1 га державної землі, яка не оформлена належним чином. Припустимо, що нормативна </w:t>
      </w:r>
      <w:r w:rsidRPr="002015DF">
        <w:rPr>
          <w:rFonts w:ascii="Times New Roman" w:eastAsia="Times New Roman" w:hAnsi="Times New Roman" w:cs="Times New Roman"/>
          <w:color w:val="000000"/>
          <w:kern w:val="0"/>
          <w:sz w:val="28"/>
          <w:szCs w:val="28"/>
          <w14:ligatures w14:val="none"/>
        </w:rPr>
        <w:lastRenderedPageBreak/>
        <w:t>грошова оцінка 1 га землі сільськогосподарського призначення становить 30 000 грн. Середній відсоток орендної плати - 8%. Тоді розрахунок виглядає так:</w:t>
      </w:r>
    </w:p>
    <w:p w14:paraId="30FD93CB"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m:oMathPara>
        <m:oMath>
          <m:r>
            <w:rPr>
              <w:rFonts w:ascii="Cambria Math" w:eastAsia="Calibri" w:hAnsi="Cambria Math" w:cs="Times New Roman"/>
              <w:color w:val="000000"/>
              <w:kern w:val="0"/>
              <w:sz w:val="28"/>
              <w:szCs w:val="28"/>
              <w14:ligatures w14:val="none"/>
            </w:rPr>
            <m:t>30 000 грн × 8% = 2 400 грн на рік з 1 га</m:t>
          </m:r>
        </m:oMath>
      </m:oMathPara>
    </w:p>
    <w:p w14:paraId="0B1B94C3"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Якщо таких земель виявлено 100 000 га, то:</w:t>
      </w:r>
    </w:p>
    <w:p w14:paraId="3C26B14A"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m:oMathPara>
        <m:oMath>
          <m:r>
            <w:rPr>
              <w:rFonts w:ascii="Cambria Math" w:eastAsia="Calibri" w:hAnsi="Cambria Math" w:cs="Times New Roman"/>
              <w:color w:val="000000"/>
              <w:kern w:val="0"/>
              <w:sz w:val="28"/>
              <w:szCs w:val="28"/>
              <w14:ligatures w14:val="none"/>
            </w:rPr>
            <m:t>2 400 грн × 100 000 га = 240 000 000 грн щорічних втрат</m:t>
          </m:r>
        </m:oMath>
      </m:oMathPara>
    </w:p>
    <w:p w14:paraId="336C436B"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У разі 5-річного періоду без оформлення сума збитків складе:</w:t>
      </w:r>
    </w:p>
    <w:p w14:paraId="5B632A0C"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m:oMathPara>
        <m:oMath>
          <m:r>
            <w:rPr>
              <w:rFonts w:ascii="Cambria Math" w:eastAsia="Calibri" w:hAnsi="Cambria Math" w:cs="Times New Roman"/>
              <w:color w:val="000000"/>
              <w:kern w:val="0"/>
              <w:sz w:val="28"/>
              <w:szCs w:val="28"/>
              <w14:ligatures w14:val="none"/>
            </w:rPr>
            <m:t>240 000 000 грн × 5 років = 1 200 000 000 грн</m:t>
          </m:r>
        </m:oMath>
      </m:oMathPara>
    </w:p>
    <w:p w14:paraId="065107D2"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Аналогічно можна оцінити неефективно використовувані землі. Припустимо, що очікувана урожайність пшениці становить 4 т/га, а фактична - 2 т/га. Ринкова ціна пшениці - 7 000 грн/т. Отже, втрати на 1 га:</w:t>
      </w:r>
    </w:p>
    <w:p w14:paraId="6DA5C79F"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m:oMathPara>
        <m:oMath>
          <m:r>
            <w:rPr>
              <w:rFonts w:ascii="Cambria Math" w:eastAsia="Calibri" w:hAnsi="Cambria Math" w:cs="Times New Roman"/>
              <w:color w:val="000000"/>
              <w:kern w:val="0"/>
              <w:sz w:val="28"/>
              <w:szCs w:val="28"/>
              <w14:ligatures w14:val="none"/>
            </w:rPr>
            <m:t>(4 т - 2 т) × 7 000 грн = 14 000 грн на 1 га</m:t>
          </m:r>
        </m:oMath>
      </m:oMathPara>
    </w:p>
    <w:p w14:paraId="0BE811C8"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Якщо площа таких земель - 50 000 га, то:</w:t>
      </w:r>
    </w:p>
    <w:p w14:paraId="60FED23D"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m:oMathPara>
        <m:oMath>
          <m:r>
            <w:rPr>
              <w:rFonts w:ascii="Cambria Math" w:eastAsia="Calibri" w:hAnsi="Cambria Math" w:cs="Times New Roman"/>
              <w:color w:val="000000"/>
              <w:kern w:val="0"/>
              <w:sz w:val="28"/>
              <w:szCs w:val="28"/>
              <w14:ligatures w14:val="none"/>
            </w:rPr>
            <m:t>14 000 грн × 50 000 га = 700 000 000 грн щорічних втрат</m:t>
          </m:r>
        </m:oMath>
      </m:oMathPara>
    </w:p>
    <w:p w14:paraId="2AD44AEC"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Таким чином, інвентаризація дає змогу не лише виявити правові та функціональні дефекти, а й розрахувати економічні втрати, пов’язані з невикористанням потенціалу земельного фонду. Ці дані є базою для судових позовів, адміністративних дій, а також актуалізації планів просторового розвитку, переоцінки аграрних стратегій на місцевому рівні, перегляду нормативної грошової оцінки, зміни пріоритетів у програмному фінансуванні земельної сфери. Таким чином, виявлення та подальше юридичне супроводження проблемних земельних ділянок - не технічна дія, а складова частина національної політики просторового оновлення, детінізації аграрної економіки та підвищення фіскальної спроможності територіальних громад. Це дозволяє формувати довгострокову архітектоніку раціонального землекористування, де кожен гектар набуває обґрунтованого юридичного статусу, економічного значення та функціональної цінності [38, с. 12].</w:t>
      </w:r>
    </w:p>
    <w:p w14:paraId="2D4B14A1"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Формування банку даних невикористаних, неоформлених та неефективно використаних земельних ділянок на основі результатів інвентаризації є структурною передумовою для прийняття довгострокових рішень у сфері просторового планування, інвестиційної політики, екологічної реабілітації та </w:t>
      </w:r>
      <w:r w:rsidRPr="002015DF">
        <w:rPr>
          <w:rFonts w:ascii="Times New Roman" w:eastAsia="Times New Roman" w:hAnsi="Times New Roman" w:cs="Times New Roman"/>
          <w:color w:val="000000"/>
          <w:kern w:val="0"/>
          <w:sz w:val="28"/>
          <w:szCs w:val="28"/>
          <w14:ligatures w14:val="none"/>
        </w:rPr>
        <w:lastRenderedPageBreak/>
        <w:t xml:space="preserve">функціонального перезавантаження аграрного ландшафту. У процесі інвентаризації всі земельні ділянки, що мають відхилення від цільового призначення, ознаки бездіяльності або правової невизначеності, включаються до </w:t>
      </w:r>
      <w:r w:rsidRPr="002015DF">
        <w:rPr>
          <w:rFonts w:ascii="Times New Roman" w:eastAsia="Calibri" w:hAnsi="Times New Roman" w:cs="Times New Roman"/>
          <w:color w:val="000000"/>
          <w:kern w:val="0"/>
          <w:sz w:val="28"/>
          <w:szCs w:val="28"/>
          <w14:ligatures w14:val="none"/>
        </w:rPr>
        <w:t>реєстру із зазначенням координат, площі, фізико-хімічних характеристик ґрунту, ступеня деградації, категорії угідь, наявності інженерної інфраструктури, транспортної доступності, екологічного статусу, а також передбачуваного потенціалу для відновлення або переорієнтації. У структурі такого банку даних, згідно з рекомендаціями Держгеокадастру, використовується поділ на три блоки: землі, придатні для орендного залучення; ділянки, що підлягають рекультивації або агроекологічній реабілітації; території, придатні для конверсії під несільськогосподарські функції (альтернативна енергетика, меліорація, заліснення). Паралельно кожен об’єкт отримує унікальний ідентифікатор, що дозволяє його просторове відображення в геоінформаційній системі з наступною можливістю інтеграції у проєкти планування [4, с. 10].</w:t>
      </w:r>
    </w:p>
    <w:p w14:paraId="3463369C"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У практичній площині формування такого реєстру дозволяє створити відкриту систему управління земельним потенціалом, де кожна ділянка набуває визначеного статусу - з правової, екологічної та економічної точки зору. Наприклад, для земель, що потребують інвестування, застосовується формула оцінки потенціалу на основі поєднання нормативної грошової оцінки (НГО), витрат на підготовку, інженерну доступність та очікувану рентну дохідність. Формула виглядає так:</w:t>
      </w:r>
    </w:p>
    <w:p w14:paraId="5D32DB82"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m:oMathPara>
        <m:oMath>
          <m:r>
            <m:rPr>
              <m:sty m:val="bi"/>
            </m:rPr>
            <w:rPr>
              <w:rFonts w:ascii="Cambria Math" w:eastAsia="Calibri" w:hAnsi="Cambria Math" w:cs="Times New Roman"/>
              <w:color w:val="000000"/>
              <w:kern w:val="0"/>
              <w:sz w:val="28"/>
              <w:szCs w:val="28"/>
              <w14:ligatures w14:val="none"/>
            </w:rPr>
            <m:t>ПІ = (НГО × R) - В</m:t>
          </m:r>
          <m:r>
            <w:rPr>
              <w:rFonts w:ascii="Cambria Math" w:eastAsia="Calibri" w:hAnsi="Cambria Math" w:cs="Times New Roman"/>
              <w:color w:val="000000"/>
              <w:kern w:val="0"/>
              <w:sz w:val="28"/>
              <w:szCs w:val="28"/>
              <w14:ligatures w14:val="none"/>
            </w:rPr>
            <m:t>,</m:t>
          </m:r>
        </m:oMath>
      </m:oMathPara>
    </w:p>
    <w:p w14:paraId="031BE618"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Де</w:t>
      </w:r>
    </w:p>
    <w:p w14:paraId="6056CE5B"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ПІ - потенціал інвестування,</w:t>
      </w:r>
    </w:p>
    <w:p w14:paraId="7D375645"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НГО - нормативна грошова оцінка (грн/га),</w:t>
      </w:r>
    </w:p>
    <w:p w14:paraId="4EF58469"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R - очікувана рентабельність (у вигляді десяткового дробу),</w:t>
      </w:r>
    </w:p>
    <w:p w14:paraId="3BE586FD"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В - витрати на приведення ділянки до придатного стану (грн/га).</w:t>
      </w:r>
    </w:p>
    <w:p w14:paraId="6F785F64"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Припустимо, що ділянка має НГО = 35 000 грн/га, очікувана рентабельність - 12% (0.12), витрати на рекультивацію - 5 000 грн/га. Тоді:</w:t>
      </w:r>
    </w:p>
    <w:p w14:paraId="77F0641B"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m:oMathPara>
        <m:oMath>
          <m:r>
            <w:rPr>
              <w:rFonts w:ascii="Cambria Math" w:eastAsia="Calibri" w:hAnsi="Cambria Math" w:cs="Times New Roman"/>
              <w:color w:val="000000"/>
              <w:kern w:val="0"/>
              <w:sz w:val="28"/>
              <w:szCs w:val="28"/>
              <w14:ligatures w14:val="none"/>
            </w:rPr>
            <w:lastRenderedPageBreak/>
            <m:t>ПІ = (35 000 × 0.12) - 5 000 = 4 200 - 5 000 = -800 грн/га</m:t>
          </m:r>
        </m:oMath>
      </m:oMathPara>
    </w:p>
    <w:p w14:paraId="5C3D457C"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Отже, за цим розрахунком інвестування недоцільне без державного субсидування або зменшення витрат. Інший варіант - якщо витрати знижуються до 2 000 грн/га:</w:t>
      </w:r>
    </w:p>
    <w:p w14:paraId="359F929E"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m:oMathPara>
        <m:oMath>
          <m:r>
            <w:rPr>
              <w:rFonts w:ascii="Cambria Math" w:eastAsia="Calibri" w:hAnsi="Cambria Math" w:cs="Times New Roman"/>
              <w:color w:val="000000"/>
              <w:kern w:val="0"/>
              <w:sz w:val="28"/>
              <w:szCs w:val="28"/>
              <w14:ligatures w14:val="none"/>
            </w:rPr>
            <m:t>ПІ = (35 000 × 0.12) - 2 000 = 4 200 - 2 000 = +2 200 грн/га</m:t>
          </m:r>
        </m:oMath>
      </m:oMathPara>
    </w:p>
    <w:p w14:paraId="45C898CE"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У такому випадку ділянка включається до переліку потенційно придатних для інвестування. При масовому аналізі тисяч гектарів таких ділянок формується карта інвестиційного потенціалу, яка може бути інтегрована до електронного </w:t>
      </w:r>
      <w:r w:rsidRPr="002015DF">
        <w:rPr>
          <w:rFonts w:ascii="Times New Roman" w:eastAsia="Calibri" w:hAnsi="Times New Roman" w:cs="Times New Roman"/>
          <w:color w:val="000000"/>
          <w:kern w:val="0"/>
          <w:sz w:val="28"/>
          <w:szCs w:val="28"/>
          <w14:ligatures w14:val="none"/>
        </w:rPr>
        <w:t>геопорталу територіальної громади або області.</w:t>
      </w:r>
    </w:p>
    <w:p w14:paraId="3B9AF5C5"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У межах землекористування державної власності загальна площа невикористаних земель, за даними </w:t>
      </w:r>
      <w:r w:rsidRPr="002015DF">
        <w:rPr>
          <w:rFonts w:ascii="Times New Roman" w:eastAsia="Calibri" w:hAnsi="Times New Roman" w:cs="Times New Roman"/>
          <w:color w:val="000000"/>
          <w:kern w:val="0"/>
          <w:sz w:val="28"/>
          <w:szCs w:val="28"/>
          <w14:ligatures w14:val="none"/>
        </w:rPr>
        <w:t>Держгеокадастру на 2023 рік, становить близько 1,6 млн га. З них близько 600 тис. га вважаються непридатними для інтенсивного сільськогосподарського виробництва через деградацію, відсутність зрошення або погіршення екологічного стану. При оцінці потенціалу для рекультивації таких територій розглядається концепт «екологічного відновлення» - насадження лісосмуг, відновлення луків, заліснення або використання під органічне землеробство. Витрати на рекультивацію 1 га землі з легким ступенем деградації становлять орієнтовно 8 000–10 000 грн, а для середнього ступеня - 12 000–15 000 грн. Враховуючи це, розрахуємо орієнтовну потребу у фінансуванні для 100 000 га земель:</w:t>
      </w:r>
    </w:p>
    <w:p w14:paraId="42D365BA"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m:oMathPara>
        <m:oMath>
          <m:r>
            <m:rPr>
              <m:sty m:val="bi"/>
            </m:rPr>
            <w:rPr>
              <w:rFonts w:ascii="Cambria Math" w:eastAsia="Calibri" w:hAnsi="Cambria Math" w:cs="Times New Roman"/>
              <w:color w:val="000000"/>
              <w:kern w:val="0"/>
              <w:sz w:val="28"/>
              <w:szCs w:val="28"/>
              <w14:ligatures w14:val="none"/>
            </w:rPr>
            <m:t>Витрати = S × V</m:t>
          </m:r>
        </m:oMath>
      </m:oMathPara>
    </w:p>
    <w:p w14:paraId="42F25E45"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Де</w:t>
      </w:r>
    </w:p>
    <w:p w14:paraId="671764C4"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S - площа (га),</w:t>
      </w:r>
    </w:p>
    <w:p w14:paraId="07819C08"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V - витрати на 1 га (грн).</w:t>
      </w:r>
    </w:p>
    <w:p w14:paraId="124B96CE"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Для 100 000 га з середнім ступенем деградації (V = 13 000 грн):</w:t>
      </w:r>
    </w:p>
    <w:p w14:paraId="78E523A4"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m:oMathPara>
        <m:oMath>
          <m:r>
            <w:rPr>
              <w:rFonts w:ascii="Cambria Math" w:eastAsia="Calibri" w:hAnsi="Cambria Math" w:cs="Times New Roman"/>
              <w:color w:val="000000"/>
              <w:kern w:val="0"/>
              <w:sz w:val="28"/>
              <w:szCs w:val="28"/>
              <w14:ligatures w14:val="none"/>
            </w:rPr>
            <m:t>Витрати = 100 000 × 13 000 = 1 300 000 000 грн</m:t>
          </m:r>
        </m:oMath>
      </m:oMathPara>
    </w:p>
    <w:p w14:paraId="09953D5F" w14:textId="4AE2A702"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Ці розрахунки використовуються як обґрунтування до державних або донорських програм у рамках реалізації стратегій з відновлення продуктивного потенціалу </w:t>
      </w:r>
      <w:r w:rsidRPr="002015DF">
        <w:rPr>
          <w:rFonts w:ascii="Times New Roman" w:eastAsia="Calibri" w:hAnsi="Times New Roman" w:cs="Times New Roman"/>
          <w:color w:val="000000"/>
          <w:kern w:val="0"/>
          <w:sz w:val="28"/>
          <w:szCs w:val="28"/>
          <w14:ligatures w14:val="none"/>
        </w:rPr>
        <w:t xml:space="preserve">агроекосистем. Водночас, за умов надання таких ділянок під соціальні чи інфраструктурні проєкти (сонячні електростанції, вітропарки, </w:t>
      </w:r>
      <w:r w:rsidRPr="002015DF">
        <w:rPr>
          <w:rFonts w:ascii="Times New Roman" w:eastAsia="Calibri" w:hAnsi="Times New Roman" w:cs="Times New Roman"/>
          <w:color w:val="000000"/>
          <w:kern w:val="0"/>
          <w:sz w:val="28"/>
          <w:szCs w:val="28"/>
          <w14:ligatures w14:val="none"/>
        </w:rPr>
        <w:lastRenderedPageBreak/>
        <w:t>біоенергетичні комплекси), можливе компенсування витрат шляхом створення державно-приватних партнерств</w:t>
      </w:r>
      <w:r w:rsidR="00210A26">
        <w:rPr>
          <w:rFonts w:ascii="Times New Roman" w:eastAsia="Calibri" w:hAnsi="Times New Roman" w:cs="Times New Roman"/>
          <w:color w:val="000000"/>
          <w:kern w:val="0"/>
          <w:sz w:val="28"/>
          <w:szCs w:val="28"/>
          <w14:ligatures w14:val="none"/>
        </w:rPr>
        <w:t>.</w:t>
      </w:r>
    </w:p>
    <w:p w14:paraId="3D60237A"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Важливим результатом інвентаризації є актуалізація просторових даних, які стають основою для стратегічних рішень щодо розподілу земельного ресурсу. </w:t>
      </w:r>
      <w:r w:rsidRPr="002015DF">
        <w:rPr>
          <w:rFonts w:ascii="Times New Roman" w:eastAsia="Calibri" w:hAnsi="Times New Roman" w:cs="Times New Roman"/>
          <w:color w:val="000000"/>
          <w:kern w:val="0"/>
          <w:sz w:val="28"/>
          <w:szCs w:val="28"/>
          <w14:ligatures w14:val="none"/>
        </w:rPr>
        <w:t>На рівні громади, району, області формується карта функціонального потенціалу земель з поділом на категорії: 1) ділянки, що підлягають передачі в оренду; 2) ділянки, що можуть бути зарезервовані під суспільні потреби; 3) землі, доцільні для конверсії функцій або реалізації інвестиційних проєктів; 4) зони рекультивації. У такий спосіб просторове планування отримує реальне емпіричне підґрунтя, що дозволяє уникати суб’єктивізму, земельних конфліктів, правових колізій при прийнятті рішень. Наприклад, при актуалізації схеми планування територій громади дані інвентаризації дозволяють внести уточнення в межі функціональних зон, змінити межі населених пунктів, передбачити зелені пояси або буферні зони біля об’єктів інфраструктури.</w:t>
      </w:r>
    </w:p>
    <w:p w14:paraId="2C3DE17A"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Узагальнена карта проблемних ділянок на основі банку даних формується у форматі </w:t>
      </w:r>
      <w:r w:rsidRPr="002015DF">
        <w:rPr>
          <w:rFonts w:ascii="Times New Roman" w:eastAsia="Calibri" w:hAnsi="Times New Roman" w:cs="Times New Roman"/>
          <w:color w:val="000000"/>
          <w:kern w:val="0"/>
          <w:sz w:val="28"/>
          <w:szCs w:val="28"/>
          <w14:ligatures w14:val="none"/>
        </w:rPr>
        <w:t>растрово-векторної мозаїки, де кожна ділянка має унікальний атрибутивний блок: код району, площа, ступінь порушення, код екологічної вразливості, технічна оцінка та план дій. Така база стає обов’язковим елементом при формуванні звітів для Кабінету Міністрів України, обґрунтування програм Служби відновлення та розвитку інфраструктури, а також проєктів міжнародного фінансування (наприклад, Програма ООН з відновлення Донбасу або Фонд зеленої трансформації сільських територій). Таким чином, результати інвентаризації, інтегровані до структури банку даних, функціонують не лише як реєстр, а як інструмент стратегічної реорганізації землекористування [5, с. 39].</w:t>
      </w:r>
    </w:p>
    <w:p w14:paraId="5CFFDD36"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Інвентаризація дозволяє поєднати моніторинг, просторову аналітику та правове забезпечення, створивши модель розподілу земельних ресурсів на підставі реальної інформації, а не декларативних припущень. Виявлення проблемних земель - це перший етап, за яким має слідувати управлінська, екологічна, правова та економічна інтервенція. Продуктами такої діяльності </w:t>
      </w:r>
      <w:r w:rsidRPr="002015DF">
        <w:rPr>
          <w:rFonts w:ascii="Times New Roman" w:eastAsia="Times New Roman" w:hAnsi="Times New Roman" w:cs="Times New Roman"/>
          <w:color w:val="000000"/>
          <w:kern w:val="0"/>
          <w:sz w:val="28"/>
          <w:szCs w:val="28"/>
          <w14:ligatures w14:val="none"/>
        </w:rPr>
        <w:lastRenderedPageBreak/>
        <w:t xml:space="preserve">стають не тільки акти перевірки, а й повноцінна інфраструктура просторового управління, що включає бази даних, </w:t>
      </w:r>
      <w:r w:rsidRPr="002015DF">
        <w:rPr>
          <w:rFonts w:ascii="Times New Roman" w:eastAsia="Calibri" w:hAnsi="Times New Roman" w:cs="Times New Roman"/>
          <w:color w:val="000000"/>
          <w:kern w:val="0"/>
          <w:sz w:val="28"/>
          <w:szCs w:val="28"/>
          <w14:ligatures w14:val="none"/>
        </w:rPr>
        <w:t>геопортали, аналітичні моделі, програми реабілітації та законодавчі ініціативи. Це забезпечує системне оновлення практики використання земель, повернення до обігу тіньових ділянок, запровадження етичних, екологічно сумісних та соціально вигідних механізмів землекористування, на основі достовірного та публічно верифікованого знання.</w:t>
      </w:r>
    </w:p>
    <w:p w14:paraId="5ED63CED" w14:textId="742DE7E4" w:rsid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202612D0" w14:textId="77777777" w:rsidR="00210A26" w:rsidRPr="002015DF" w:rsidRDefault="00210A26"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5BEC47E8" w14:textId="77777777" w:rsidR="002015DF" w:rsidRPr="002015DF" w:rsidRDefault="002015DF" w:rsidP="002015DF">
      <w:pPr>
        <w:spacing w:after="0" w:line="360" w:lineRule="auto"/>
        <w:ind w:firstLine="706"/>
        <w:jc w:val="both"/>
        <w:outlineLvl w:val="1"/>
        <w:rPr>
          <w:rFonts w:ascii="Times New Roman" w:eastAsia="Calibri" w:hAnsi="Times New Roman" w:cs="Times New Roman"/>
          <w:b/>
          <w:color w:val="000000"/>
          <w:kern w:val="0"/>
          <w:sz w:val="28"/>
          <w:szCs w:val="28"/>
          <w14:ligatures w14:val="none"/>
        </w:rPr>
      </w:pPr>
      <w:bookmarkStart w:id="13" w:name="_Toc194707114"/>
      <w:r w:rsidRPr="002015DF">
        <w:rPr>
          <w:rFonts w:ascii="Times New Roman" w:eastAsia="Times New Roman" w:hAnsi="Times New Roman" w:cs="Times New Roman"/>
          <w:b/>
          <w:color w:val="000000"/>
          <w:kern w:val="0"/>
          <w:sz w:val="28"/>
          <w:szCs w:val="28"/>
          <w14:ligatures w14:val="none"/>
        </w:rPr>
        <w:t xml:space="preserve">2.4 </w:t>
      </w:r>
      <w:r w:rsidRPr="002015DF">
        <w:rPr>
          <w:rFonts w:ascii="Times New Roman" w:eastAsia="Calibri" w:hAnsi="Times New Roman" w:cs="Times New Roman"/>
          <w:b/>
          <w:bCs/>
          <w:color w:val="000000"/>
          <w:kern w:val="0"/>
          <w:sz w:val="28"/>
          <w:szCs w:val="28"/>
          <w14:ligatures w14:val="none"/>
        </w:rPr>
        <w:t>Взаємодія між органами місцевого самоврядування та землевпорядними організаціями під час проведення інвентаризації</w:t>
      </w:r>
      <w:bookmarkEnd w:id="13"/>
    </w:p>
    <w:p w14:paraId="4423F7DB" w14:textId="77777777" w:rsidR="00210A26" w:rsidRDefault="00210A26" w:rsidP="002015DF">
      <w:pPr>
        <w:spacing w:after="0" w:line="360" w:lineRule="auto"/>
        <w:ind w:firstLine="706"/>
        <w:jc w:val="both"/>
        <w:rPr>
          <w:rFonts w:ascii="Times New Roman" w:eastAsia="Times New Roman" w:hAnsi="Times New Roman" w:cs="Times New Roman"/>
          <w:color w:val="000000"/>
          <w:kern w:val="0"/>
          <w:sz w:val="28"/>
          <w:szCs w:val="28"/>
          <w14:ligatures w14:val="none"/>
        </w:rPr>
      </w:pPr>
    </w:p>
    <w:p w14:paraId="1A4B161B" w14:textId="77777777" w:rsidR="00210A26" w:rsidRDefault="00210A26" w:rsidP="002015DF">
      <w:pPr>
        <w:spacing w:after="0" w:line="360" w:lineRule="auto"/>
        <w:ind w:firstLine="706"/>
        <w:jc w:val="both"/>
        <w:rPr>
          <w:rFonts w:ascii="Times New Roman" w:eastAsia="Times New Roman" w:hAnsi="Times New Roman" w:cs="Times New Roman"/>
          <w:color w:val="000000"/>
          <w:kern w:val="0"/>
          <w:sz w:val="28"/>
          <w:szCs w:val="28"/>
          <w14:ligatures w14:val="none"/>
        </w:rPr>
      </w:pPr>
    </w:p>
    <w:p w14:paraId="128F7A22" w14:textId="32E87130"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Взаємодія між органами місцевого самоврядування та землевпорядними організаціями в процесі проведення інвентаризації земель є складним багатоетапним процесом, який базується на юридично врегульованих механізмах, технічних стандартах, адміністративних процедурах і фінансовій кооперації. Правове регулювання таких відносин визначається Земельним кодексом України, законами «Про місцеве самоврядування», «Про землеустрій», «Про Державний земельний кадастр» та рядом підзаконних актів, які деталізують порядок розробки землевпорядної документації. Органи місцевого самоврядування є ініціаторами та замовниками інвентаризації на території своєї компетенції, при цьому на них покладається обов’язок з визначення переліку ділянок, складання завдання, погодження меж робіт, вибору виконавців із числа сертифікованих землевпорядних організацій, контролю якості наданих послуг, приймання документації та затвердження результатів [23, с. 6].</w:t>
      </w:r>
    </w:p>
    <w:p w14:paraId="254D1E94"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Повноваження землевпорядних організацій регламентовані Законом України «Про землеустрій» та Наказом Міністерства аграрної політики і продовольства України від 12.08.2020 № 161. До їх функцій входить: опрацювання технічного завдання, отримання вихідних матеріалів (відомості з </w:t>
      </w:r>
      <w:r w:rsidRPr="002015DF">
        <w:rPr>
          <w:rFonts w:ascii="Times New Roman" w:eastAsia="Times New Roman" w:hAnsi="Times New Roman" w:cs="Times New Roman"/>
          <w:color w:val="000000"/>
          <w:kern w:val="0"/>
          <w:sz w:val="28"/>
          <w:szCs w:val="28"/>
          <w14:ligatures w14:val="none"/>
        </w:rPr>
        <w:lastRenderedPageBreak/>
        <w:t>державного земельного кадастру, топографо-геодезичні дані, реєстраційна інформація з Реєстру речових прав), здійснення камерального та польового етапів робіт, складання технічної документації, внесення змін до кадастру через адміністратора системи, надання звітів і погодження результатів із замовником. При цьому землевпорядна організація зобов’язана дотримуватись технічного регламенту, перевірки якості, координатної точності, оновлення відомостей відповідно до вимог ДСТУ, і несе повну відповідальність за недостовірні або помилкові дані, внесені до офіційного реєстру.</w:t>
      </w:r>
    </w:p>
    <w:p w14:paraId="1A9ADE66"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Алгоритм взаємодії можна розбити на п’ять стадій: підготовча, організаційна, технічна, погоджувальна та контрольна. Підготовча стадія охоплює формування рішення сесії місцевої ради про необхідність проведення інвентаризації, визначення переліку ділянок, формулювання цілей (виявлення невикористаних, облік резерву, актуалізація кадастру), підготовку технічного завдання, розрахунок кошторису. Організаційна стадія передбачає проведення тендеру або конкурсу (якщо вартість перевищує визначений поріг), укладення договору із землевпорядною організацією, отримання копій сертифікатів виконавців, погодження графіку робіт. Технічна стадія включає проведення польових вимірювань (GPS-обстеження, фотограмметрія, геодезичне знімання), камеральну обробку, складання картограм, </w:t>
      </w:r>
      <w:r w:rsidRPr="002015DF">
        <w:rPr>
          <w:rFonts w:ascii="Times New Roman" w:eastAsia="Calibri" w:hAnsi="Times New Roman" w:cs="Times New Roman"/>
          <w:color w:val="000000"/>
          <w:kern w:val="0"/>
          <w:sz w:val="28"/>
          <w:szCs w:val="28"/>
          <w14:ligatures w14:val="none"/>
        </w:rPr>
        <w:t>атрибутних таблиць, технічного звіту, підготовку матеріалів у форматі XML для інтеграції з кадастром. Погоджувальна стадія охоплює подання матеріалів на розгляд виконавчого органу ради, проведення громадського обговорення (за потреби), винесення на розгляд постійної комісії ради, затвердження на сесії. Контрольна стадія полягає у перевірці достовірності внесення даних до державного кадастру, складанні звіту про витрати, прийнятті акта виконаних робіт, підготовці подальших рішень щодо управління виявленими земельними ресурсами [53, с. 4].</w:t>
      </w:r>
    </w:p>
    <w:p w14:paraId="42529F3C"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Фінансування інвентаризації здійснюється за рахунок місцевого бюджету, субвенцій, коштів державного бюджету (за спеціальними програмами) або міжнародної технічної допомоги. Середня вартість інвентаризації одного </w:t>
      </w:r>
      <w:r w:rsidRPr="002015DF">
        <w:rPr>
          <w:rFonts w:ascii="Times New Roman" w:eastAsia="Times New Roman" w:hAnsi="Times New Roman" w:cs="Times New Roman"/>
          <w:color w:val="000000"/>
          <w:kern w:val="0"/>
          <w:sz w:val="28"/>
          <w:szCs w:val="28"/>
          <w14:ligatures w14:val="none"/>
        </w:rPr>
        <w:lastRenderedPageBreak/>
        <w:t xml:space="preserve">гектара у 2023 році складала від 220 до 350 грн/га залежно від складності обробки (інтенсивність забудови, наявність суперечок, гірський рельєф тощо). Для розрахунку вартості загального інвентаризаційного </w:t>
      </w:r>
      <w:r w:rsidRPr="002015DF">
        <w:rPr>
          <w:rFonts w:ascii="Times New Roman" w:eastAsia="Calibri" w:hAnsi="Times New Roman" w:cs="Times New Roman"/>
          <w:color w:val="000000"/>
          <w:kern w:val="0"/>
          <w:sz w:val="28"/>
          <w:szCs w:val="28"/>
          <w14:ligatures w14:val="none"/>
        </w:rPr>
        <w:t>проєкту по території 5 000 га, використаємо середній тариф 270 грн/га. Формула розрахунку виглядає так:</w:t>
      </w:r>
    </w:p>
    <w:p w14:paraId="76B392C4"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m:oMathPara>
        <m:oMath>
          <m:r>
            <w:rPr>
              <w:rFonts w:ascii="Cambria Math" w:eastAsia="Calibri" w:hAnsi="Cambria Math" w:cs="Times New Roman"/>
              <w:color w:val="000000"/>
              <w:kern w:val="0"/>
              <w:sz w:val="28"/>
              <w:szCs w:val="28"/>
              <w14:ligatures w14:val="none"/>
            </w:rPr>
            <m:t>Вартість = Площа × Тариф</m:t>
          </m:r>
        </m:oMath>
      </m:oMathPara>
    </w:p>
    <w:p w14:paraId="62125E77"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m:oMathPara>
        <m:oMath>
          <m:r>
            <w:rPr>
              <w:rFonts w:ascii="Cambria Math" w:eastAsia="Calibri" w:hAnsi="Cambria Math" w:cs="Times New Roman"/>
              <w:color w:val="000000"/>
              <w:kern w:val="0"/>
              <w:sz w:val="28"/>
              <w:szCs w:val="28"/>
              <w14:ligatures w14:val="none"/>
            </w:rPr>
            <m:t>В = 5 000 га × 270 грн = 1 350 000 грн</m:t>
          </m:r>
        </m:oMath>
      </m:oMathPara>
    </w:p>
    <w:p w14:paraId="75BEDF68"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У разі розбивки на бюджетні періоди на 2 роки:</w:t>
      </w:r>
    </w:p>
    <w:p w14:paraId="368D935D"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m:oMathPara>
        <m:oMath>
          <m:r>
            <w:rPr>
              <w:rFonts w:ascii="Cambria Math" w:eastAsia="Calibri" w:hAnsi="Cambria Math" w:cs="Times New Roman"/>
              <w:color w:val="000000"/>
              <w:kern w:val="0"/>
              <w:sz w:val="28"/>
              <w:szCs w:val="28"/>
              <w14:ligatures w14:val="none"/>
            </w:rPr>
            <m:t>Щорічне фінансування = В / 2 = 1 350 000 / 2 = 675 000 грн</m:t>
          </m:r>
        </m:oMath>
      </m:oMathPara>
    </w:p>
    <w:p w14:paraId="705B36EA"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Ці дані закладаються до бюджету громади у вигляді окремого рядка під програмою «Упорядкування землекористування» або в межах стратегії просторового розвитку. При залученні коштів субвенцій (наприклад, від Міністерства розвитку громад), передбачено співфінансування на рівні 50–80%, а громада </w:t>
      </w:r>
      <w:r w:rsidRPr="002015DF">
        <w:rPr>
          <w:rFonts w:ascii="Times New Roman" w:eastAsia="Calibri" w:hAnsi="Times New Roman" w:cs="Times New Roman"/>
          <w:color w:val="000000"/>
          <w:kern w:val="0"/>
          <w:sz w:val="28"/>
          <w:szCs w:val="28"/>
          <w14:ligatures w14:val="none"/>
        </w:rPr>
        <w:t>дофінансовує залишок. У разі, якщо інвентаризація передбачає формування банку інвестиційних ділянок або земель під соціальні потреби, вона може бути підтримана міжнародними грантовими програмами (USAID, GIZ, UNDP), де частка грантового покриття сягає 100% за наявності затвердженого технічного завдання та погодженої концепції використання.</w:t>
      </w:r>
    </w:p>
    <w:p w14:paraId="7656B0EE"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Контроль за якістю інвентаризаційних робіт покладається на органи місцевого самоврядування через формування робочої групи (представники земельної комісії, депутати, фахівці-землевпорядники), а також на державні органи - </w:t>
      </w:r>
      <w:r w:rsidRPr="002015DF">
        <w:rPr>
          <w:rFonts w:ascii="Times New Roman" w:eastAsia="Calibri" w:hAnsi="Times New Roman" w:cs="Times New Roman"/>
          <w:color w:val="000000"/>
          <w:kern w:val="0"/>
          <w:sz w:val="28"/>
          <w:szCs w:val="28"/>
          <w14:ligatures w14:val="none"/>
        </w:rPr>
        <w:t>Держгеокадастр, який здійснює вибіркову перевірку внесених даних до кадастру на предмет помилок, дублювання, некоректних меж. У разі виявлення порушень, можливе скасування технічної документації, позбавлення сертифіката виконавця, адміністративна відповідальність. Тому в сучасних умовах дедалі частіше застосовується геоінформаційний моніторинг як елемент громадського контролю: організовується онлайн-доступ до мап, звітів, протоколів - що підвищує публічність та ефективність процесу [17, с. 12].</w:t>
      </w:r>
    </w:p>
    <w:p w14:paraId="76CE9976" w14:textId="35BFC67D"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На підставі узгодженої взаємодії органів влади та виконавців формується повноцінна цифрова модель землекористування на території громади, яка </w:t>
      </w:r>
      <w:r w:rsidRPr="002015DF">
        <w:rPr>
          <w:rFonts w:ascii="Times New Roman" w:eastAsia="Times New Roman" w:hAnsi="Times New Roman" w:cs="Times New Roman"/>
          <w:color w:val="000000"/>
          <w:kern w:val="0"/>
          <w:sz w:val="28"/>
          <w:szCs w:val="28"/>
          <w14:ligatures w14:val="none"/>
        </w:rPr>
        <w:lastRenderedPageBreak/>
        <w:t xml:space="preserve">включає: 1) карту реального розміщення ділянок із </w:t>
      </w:r>
      <w:r w:rsidRPr="002015DF">
        <w:rPr>
          <w:rFonts w:ascii="Times New Roman" w:eastAsia="Calibri" w:hAnsi="Times New Roman" w:cs="Times New Roman"/>
          <w:color w:val="000000"/>
          <w:kern w:val="0"/>
          <w:sz w:val="28"/>
          <w:szCs w:val="28"/>
          <w14:ligatures w14:val="none"/>
        </w:rPr>
        <w:t>геоприв'язкою; 2) інформацію про правовий статус кожної ділянки (кадастровий номер, власність, обтяження); 3) функціональне використання (угіддя, забудова, заростання); 4) інвестиційну оцінку потенціалу; 5) реєстр прийнятих рішень органу місцевого самоврядування щодо кожної одиниці обліку. Така модель інтегрується до системи містобудівного кадастру, інфраструктури геопросторових даних та слугує підґрунтям для прийняття подальших рішень - розподілу ділянок, планування забудови, відведення під рекреаційні чи соціальні функції, продажу чи передачі в оренду</w:t>
      </w:r>
      <w:r w:rsidR="00210A26">
        <w:rPr>
          <w:rFonts w:ascii="Times New Roman" w:eastAsia="Calibri" w:hAnsi="Times New Roman" w:cs="Times New Roman"/>
          <w:color w:val="000000"/>
          <w:kern w:val="0"/>
          <w:sz w:val="28"/>
          <w:szCs w:val="28"/>
          <w14:ligatures w14:val="none"/>
        </w:rPr>
        <w:t xml:space="preserve"> (рисунок 2.2)</w:t>
      </w:r>
      <w:r w:rsidRPr="002015DF">
        <w:rPr>
          <w:rFonts w:ascii="Times New Roman" w:eastAsia="Calibri" w:hAnsi="Times New Roman" w:cs="Times New Roman"/>
          <w:color w:val="000000"/>
          <w:kern w:val="0"/>
          <w:sz w:val="28"/>
          <w:szCs w:val="28"/>
          <w14:ligatures w14:val="none"/>
        </w:rPr>
        <w:t>.</w:t>
      </w:r>
    </w:p>
    <w:p w14:paraId="6EE23F92" w14:textId="77777777" w:rsidR="002015DF" w:rsidRPr="002015DF" w:rsidRDefault="002015DF" w:rsidP="002015DF">
      <w:pPr>
        <w:spacing w:after="0" w:line="360" w:lineRule="auto"/>
        <w:ind w:firstLine="706"/>
        <w:jc w:val="center"/>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noProof/>
          <w:kern w:val="0"/>
          <w:sz w:val="28"/>
          <w:lang w:val="ru-RU" w:eastAsia="ru-RU"/>
          <w14:ligatures w14:val="none"/>
        </w:rPr>
        <w:drawing>
          <wp:inline distT="0" distB="0" distL="0" distR="0" wp14:anchorId="43CE611A" wp14:editId="5F6FEEB9">
            <wp:extent cx="4857302" cy="3792268"/>
            <wp:effectExtent l="0" t="0" r="635" b="0"/>
            <wp:docPr id="762713427" name="Рисунок 11" descr="Зображення, що містить текст, схема, знімок екрана, дизайн&#10;&#10;Вміст, створений ШІ, може бути неправильни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713427" name="Рисунок 11" descr="Зображення, що містить текст, схема, знімок екрана, дизайн&#10;&#10;Вміст, створений ШІ, може бути неправильним."/>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60302" cy="3794610"/>
                    </a:xfrm>
                    <a:prstGeom prst="rect">
                      <a:avLst/>
                    </a:prstGeom>
                    <a:noFill/>
                    <a:ln>
                      <a:noFill/>
                    </a:ln>
                  </pic:spPr>
                </pic:pic>
              </a:graphicData>
            </a:graphic>
          </wp:inline>
        </w:drawing>
      </w:r>
    </w:p>
    <w:p w14:paraId="78ADC00B" w14:textId="77777777" w:rsidR="002015DF" w:rsidRPr="002015DF" w:rsidRDefault="002015DF" w:rsidP="002015DF">
      <w:pPr>
        <w:spacing w:after="0" w:line="360" w:lineRule="auto"/>
        <w:ind w:firstLine="706"/>
        <w:jc w:val="center"/>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Рисунок 2.2 – Компоненти цифрової моделі землекористування</w:t>
      </w:r>
    </w:p>
    <w:p w14:paraId="3CAD5783"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61031D9F"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Формування договірної моделі взаємодії між органами місцевого самоврядування та підрядними землевпорядними структурами відбувається в межах адміністративного, цивільного й земельного права з урахуванням публічного інтересу, бюджетних обмежень і нормативно-технічних регламентів. Основою такого формату є укладення договору про виконання землевпорядної документації, зокрема технічної документації із землеустрою щодо інвентаризації земель, який підписується відповідно до рішення органу </w:t>
      </w:r>
      <w:r w:rsidRPr="002015DF">
        <w:rPr>
          <w:rFonts w:ascii="Times New Roman" w:eastAsia="Times New Roman" w:hAnsi="Times New Roman" w:cs="Times New Roman"/>
          <w:color w:val="000000"/>
          <w:kern w:val="0"/>
          <w:sz w:val="28"/>
          <w:szCs w:val="28"/>
          <w14:ligatures w14:val="none"/>
        </w:rPr>
        <w:lastRenderedPageBreak/>
        <w:t xml:space="preserve">місцевого самоврядування, що затверджує перелік земельних ділянок і цілі </w:t>
      </w:r>
      <w:r w:rsidRPr="002015DF">
        <w:rPr>
          <w:rFonts w:ascii="Times New Roman" w:eastAsia="Calibri" w:hAnsi="Times New Roman" w:cs="Times New Roman"/>
          <w:color w:val="000000"/>
          <w:kern w:val="0"/>
          <w:sz w:val="28"/>
          <w:szCs w:val="28"/>
          <w14:ligatures w14:val="none"/>
        </w:rPr>
        <w:t>проєкту. Контрагентом виступає сертифікований виконавець, зареєстрований в Реєстрі сертифікованих інженерів-землевпорядників, який має право здійснювати кадастрові дії, виконувати геодезичні знімання, готувати електронну документацію в форматі XML та взаємодіяти з Державним земельним кадастром [24, с. 5].</w:t>
      </w:r>
    </w:p>
    <w:p w14:paraId="4F943F38"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Договір включає предмет, строки, вартість, обсяг робіт, відповідальність сторін, етапи приймання-передачі результатів, порядок внесення змін, забезпечення конфіденційності та вимоги до технічної звітності. У рамках </w:t>
      </w:r>
      <w:r w:rsidRPr="002015DF">
        <w:rPr>
          <w:rFonts w:ascii="Times New Roman" w:eastAsia="Calibri" w:hAnsi="Times New Roman" w:cs="Times New Roman"/>
          <w:color w:val="000000"/>
          <w:kern w:val="0"/>
          <w:sz w:val="28"/>
          <w:szCs w:val="28"/>
          <w14:ligatures w14:val="none"/>
        </w:rPr>
        <w:t>контролю за виконанням передбачаються інструменти проміжного моніторингу, оцінка відповідності матеріалів умовам технічного завдання, експертне оцінювання якості результатів і звітність про відхилення. На етапі складання договору погоджуються джерела фінансування, серед яких найчастіше виступають кошти бюджету громади, субвенції з державного бюджету, гранти або співфінансування з боку зацікавлених інвесторів, якщо інвентаризація пов’язана з підготовкою інвестиційних проєктів.</w:t>
      </w:r>
    </w:p>
    <w:p w14:paraId="054A14C0"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З метою підвищення юридичної захищеності сторін у договорі чітко фіксуються відповідальність за помилки в межах ділянок, недотримання координат, порушення процедур, що може призвести до недійсності внесених до кадастру змін. Особлива увага приділяється дотриманню стандартів координатного забезпечення - система УСК-2000, точність визначення меж, розбіжність між фактичним використанням і реєстраційною інформацією не має перевищувати 0,1 га для ділянок до 2 га та 1% площі для більших масивів. За перевищення допустимого порогу неточності передбачається безоплатне виправлення помилок або зниження вартості послуг.</w:t>
      </w:r>
    </w:p>
    <w:p w14:paraId="060AAF38"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Прозорість процедур та відкритий доступ до результатів інвентаризації забезпечується через декілька каналів. По-перше, результати інвентаризації після затвердження органом місцевого самоврядування мають бути опубліковані на офіційному </w:t>
      </w:r>
      <w:r w:rsidRPr="002015DF">
        <w:rPr>
          <w:rFonts w:ascii="Times New Roman" w:eastAsia="Calibri" w:hAnsi="Times New Roman" w:cs="Times New Roman"/>
          <w:color w:val="000000"/>
          <w:kern w:val="0"/>
          <w:sz w:val="28"/>
          <w:szCs w:val="28"/>
          <w14:ligatures w14:val="none"/>
        </w:rPr>
        <w:t xml:space="preserve">вебсайті громади у вигляді переліку ділянок, карти у форматі WMS або інтерактивного ресурсу (наприклад, ArcGIS Online, QGIS </w:t>
      </w:r>
      <w:r w:rsidRPr="002015DF">
        <w:rPr>
          <w:rFonts w:ascii="Times New Roman" w:eastAsia="Calibri" w:hAnsi="Times New Roman" w:cs="Times New Roman"/>
          <w:color w:val="000000"/>
          <w:kern w:val="0"/>
          <w:sz w:val="28"/>
          <w:szCs w:val="28"/>
          <w14:ligatures w14:val="none"/>
        </w:rPr>
        <w:lastRenderedPageBreak/>
        <w:t>Server), файлів у форматі XML, PDF і SHP, а також звітів у табличному вигляді. По-друге, громада зобов’язана надати громадянам та підприємствам вільний доступ до перегляду інформації про правовий статус земель, умови користування, потенціал для оренди або приватизації, ознаки порушень або резервного фонду. По-третє, створення спеціального розділу в геопорталі громади або на національному геопорталі забезпечує уніфіковану навігацію між шарами інформації, де відображається не лише поточний стан, а й динаміка змін у використанні земельного фонду [13, с. 5].</w:t>
      </w:r>
    </w:p>
    <w:p w14:paraId="62F0A3ED"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З погляду практичної ефективності, інструмент відкритості дозволяє знизити рівень корупційних зловживань у процесі передачі ділянок в оренду, забезпечити рівний доступ до інформації для всіх учасників земельного ринку, активізувати конкуренцію при укладанні договорів, підвищити якість просторового планування. Наприклад, у ряді громад Черкаської, Львівської та Хмельницької областей після запровадження електронного </w:t>
      </w:r>
      <w:r w:rsidRPr="002015DF">
        <w:rPr>
          <w:rFonts w:ascii="Times New Roman" w:eastAsia="Calibri" w:hAnsi="Times New Roman" w:cs="Times New Roman"/>
          <w:color w:val="000000"/>
          <w:kern w:val="0"/>
          <w:sz w:val="28"/>
          <w:szCs w:val="28"/>
          <w14:ligatures w14:val="none"/>
        </w:rPr>
        <w:t>геопорталу з відкритими результатами інвентаризації було зафіксовано зростання орендної плати в середньому на 18% за рахунок зростання кількості претендентів на ділянки з однаковими характеристиками.</w:t>
      </w:r>
    </w:p>
    <w:p w14:paraId="44CD97DC"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Для розрахунку потенційної економії або надходжень завдяки прозорості результатів скористаємося формулою:</w:t>
      </w:r>
    </w:p>
    <w:p w14:paraId="1E47A7D1"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m:oMathPara>
        <m:oMath>
          <m:r>
            <m:rPr>
              <m:sty m:val="bi"/>
            </m:rPr>
            <w:rPr>
              <w:rFonts w:ascii="Cambria Math" w:eastAsia="Calibri" w:hAnsi="Cambria Math" w:cs="Times New Roman"/>
              <w:color w:val="000000"/>
              <w:kern w:val="0"/>
              <w:sz w:val="28"/>
              <w:szCs w:val="28"/>
              <w14:ligatures w14:val="none"/>
            </w:rPr>
            <m:t>ΔО = (Рп - Рс) × П</m:t>
          </m:r>
          <m:r>
            <w:rPr>
              <w:rFonts w:ascii="Cambria Math" w:eastAsia="Calibri" w:hAnsi="Cambria Math" w:cs="Times New Roman"/>
              <w:color w:val="000000"/>
              <w:kern w:val="0"/>
              <w:sz w:val="28"/>
              <w:szCs w:val="28"/>
              <w14:ligatures w14:val="none"/>
            </w:rPr>
            <m:t>,</m:t>
          </m:r>
        </m:oMath>
      </m:oMathPara>
    </w:p>
    <w:p w14:paraId="3DFDCF0C"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Де</w:t>
      </w:r>
    </w:p>
    <w:p w14:paraId="4CFCDC32"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ΔО - додаткові надходження до бюджету,</w:t>
      </w:r>
    </w:p>
    <w:p w14:paraId="1B984607"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Рп</w:t>
      </w:r>
      <w:r w:rsidRPr="002015DF">
        <w:rPr>
          <w:rFonts w:ascii="Times New Roman" w:eastAsia="Calibri" w:hAnsi="Times New Roman" w:cs="Times New Roman"/>
          <w:color w:val="000000"/>
          <w:kern w:val="0"/>
          <w:sz w:val="28"/>
          <w:szCs w:val="28"/>
          <w14:ligatures w14:val="none"/>
        </w:rPr>
        <w:t xml:space="preserve"> - підвищена середня орендна плата після інвентаризації,</w:t>
      </w:r>
    </w:p>
    <w:p w14:paraId="3BC3488B"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Рс</w:t>
      </w:r>
      <w:r w:rsidRPr="002015DF">
        <w:rPr>
          <w:rFonts w:ascii="Times New Roman" w:eastAsia="Calibri" w:hAnsi="Times New Roman" w:cs="Times New Roman"/>
          <w:color w:val="000000"/>
          <w:kern w:val="0"/>
          <w:sz w:val="28"/>
          <w:szCs w:val="28"/>
          <w14:ligatures w14:val="none"/>
        </w:rPr>
        <w:t xml:space="preserve"> - середня орендна плата до інвентаризації,</w:t>
      </w:r>
    </w:p>
    <w:p w14:paraId="4DC2D9B5"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П - площа ділянок, що були здані в оренду.</w:t>
      </w:r>
    </w:p>
    <w:p w14:paraId="4726CD18"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m:oMathPara>
        <m:oMath>
          <m:r>
            <w:rPr>
              <w:rFonts w:ascii="Cambria Math" w:eastAsia="Calibri" w:hAnsi="Cambria Math" w:cs="Times New Roman"/>
              <w:color w:val="000000"/>
              <w:kern w:val="0"/>
              <w:sz w:val="28"/>
              <w:szCs w:val="28"/>
              <w14:ligatures w14:val="none"/>
            </w:rPr>
            <m:t>Нехай Рп = 3 200 грн/га, Рс = 2 700 грн/га, П = 1 000 га.</m:t>
          </m:r>
        </m:oMath>
      </m:oMathPara>
    </w:p>
    <w:p w14:paraId="3696F17A"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Тоді:</w:t>
      </w:r>
    </w:p>
    <w:p w14:paraId="57BAB467"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m:oMathPara>
        <m:oMath>
          <m:r>
            <w:rPr>
              <w:rFonts w:ascii="Cambria Math" w:eastAsia="Calibri" w:hAnsi="Cambria Math" w:cs="Times New Roman"/>
              <w:color w:val="000000"/>
              <w:kern w:val="0"/>
              <w:sz w:val="28"/>
              <w:szCs w:val="28"/>
              <w14:ligatures w14:val="none"/>
            </w:rPr>
            <m:t>ΔО = (3 200 - 2 700) × 1 000 = 500 × 1 000 = 500 000 грн додаткових надходжень щорічно</m:t>
          </m:r>
        </m:oMath>
      </m:oMathPara>
    </w:p>
    <w:p w14:paraId="30A7C084"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lastRenderedPageBreak/>
        <w:t>Таким чином, лише завдяки підвищенню публічності результатів, громада отримує півмільйона гривень щорічно без додаткових витрат, оскільки інформація була створена в процесі інвентаризації й відкрита для вільного доступу.</w:t>
      </w:r>
    </w:p>
    <w:p w14:paraId="2E914D6A"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Фінансове планування </w:t>
      </w:r>
      <w:r w:rsidRPr="002015DF">
        <w:rPr>
          <w:rFonts w:ascii="Times New Roman" w:eastAsia="Calibri" w:hAnsi="Times New Roman" w:cs="Times New Roman"/>
          <w:color w:val="000000"/>
          <w:kern w:val="0"/>
          <w:sz w:val="28"/>
          <w:szCs w:val="28"/>
          <w14:ligatures w14:val="none"/>
        </w:rPr>
        <w:t>проєктів інвентаризації також передбачає оцінку витрат на створення цифрової інфраструктури публічного доступу. Вартість базового геопорталу для середньої громади складає від 300 000 до 600 000 грн (в залежності від програмного забезпечення, рівня деталізації, хостингу, обслуговування). При наданні грантової підтримки ці витрати можуть бути покриті на 80–100%, як у випадках реалізації ініціатив від U-LEAD або ЄС. Якщо громада самостійно реалізує портал, то вартість розбивається на такі етапи:</w:t>
      </w:r>
    </w:p>
    <w:p w14:paraId="17539D99"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технічне завдання та програмування - 200 000 грн</w:t>
      </w:r>
    </w:p>
    <w:p w14:paraId="7DD1B1FF"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хостинг та сервер - 50 000 грн</w:t>
      </w:r>
    </w:p>
    <w:p w14:paraId="70A68569"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візуалізація та картографування - 100 000 грн</w:t>
      </w:r>
    </w:p>
    <w:p w14:paraId="3F58FE10"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супровід та обслуговування - 50 000 грн на рік</w:t>
      </w:r>
    </w:p>
    <w:p w14:paraId="54177B76"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m:oMathPara>
        <m:oMath>
          <m:r>
            <w:rPr>
              <w:rFonts w:ascii="Cambria Math" w:eastAsia="Calibri" w:hAnsi="Cambria Math" w:cs="Times New Roman"/>
              <w:color w:val="000000"/>
              <w:kern w:val="0"/>
              <w:sz w:val="28"/>
              <w:szCs w:val="28"/>
              <w14:ligatures w14:val="none"/>
            </w:rPr>
            <m:t>Загальна сума = 200 000 + 50 000 + 100 000 + 50 000 = 400 000 грн</m:t>
          </m:r>
        </m:oMath>
      </m:oMathPara>
    </w:p>
    <w:p w14:paraId="23E83AEE"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При цьому інструмент дозволяє не лише підвищити відкритість, а й оптимізувати витрати, пришвидшити процес погодження, надати громадськості інструменти контролю.</w:t>
      </w:r>
    </w:p>
    <w:p w14:paraId="1F2986DE"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Таким чином, формування договірної моделі між органами місцевого самоврядування та виконавцями інвентаризації в Україні має бути інтегрованим процесом, що поєднує юридичну формалізацію, технічні вимоги, фінансову обґрунтованість та цифрову відкритість. Завдяки цьому інвентаризація переходить із статусу виключно технічної процедури у стратегічний інструмент просторового розвитку, де прозорість, публічність і змагальність стають системними механізмами управління земельним потенціалом. </w:t>
      </w:r>
    </w:p>
    <w:p w14:paraId="2DB7055C" w14:textId="192E6B80" w:rsidR="0011701A" w:rsidRDefault="0011701A" w:rsidP="002015DF">
      <w:pPr>
        <w:spacing w:after="0" w:line="360" w:lineRule="auto"/>
        <w:ind w:firstLine="706"/>
        <w:jc w:val="both"/>
        <w:outlineLvl w:val="1"/>
        <w:rPr>
          <w:rFonts w:ascii="Times New Roman" w:eastAsia="Times New Roman" w:hAnsi="Times New Roman" w:cs="Times New Roman"/>
          <w:b/>
          <w:bCs/>
          <w:color w:val="000000"/>
          <w:kern w:val="0"/>
          <w:sz w:val="28"/>
          <w:szCs w:val="28"/>
          <w14:ligatures w14:val="none"/>
        </w:rPr>
      </w:pPr>
      <w:bookmarkStart w:id="14" w:name="_Toc194707115"/>
    </w:p>
    <w:p w14:paraId="24DEC8EC" w14:textId="77777777" w:rsidR="00210A26" w:rsidRDefault="00210A26" w:rsidP="002015DF">
      <w:pPr>
        <w:spacing w:after="0" w:line="360" w:lineRule="auto"/>
        <w:ind w:firstLine="706"/>
        <w:jc w:val="both"/>
        <w:outlineLvl w:val="1"/>
        <w:rPr>
          <w:rFonts w:ascii="Times New Roman" w:eastAsia="Times New Roman" w:hAnsi="Times New Roman" w:cs="Times New Roman"/>
          <w:b/>
          <w:bCs/>
          <w:color w:val="000000"/>
          <w:kern w:val="0"/>
          <w:sz w:val="28"/>
          <w:szCs w:val="28"/>
          <w14:ligatures w14:val="none"/>
        </w:rPr>
      </w:pPr>
    </w:p>
    <w:p w14:paraId="1727B44A" w14:textId="65C4106D" w:rsidR="002015DF" w:rsidRPr="002015DF" w:rsidRDefault="002015DF" w:rsidP="002015DF">
      <w:pPr>
        <w:spacing w:after="0" w:line="360" w:lineRule="auto"/>
        <w:ind w:firstLine="706"/>
        <w:jc w:val="both"/>
        <w:outlineLvl w:val="1"/>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b/>
          <w:bCs/>
          <w:color w:val="000000"/>
          <w:kern w:val="0"/>
          <w:sz w:val="28"/>
          <w:szCs w:val="28"/>
          <w14:ligatures w14:val="none"/>
        </w:rPr>
        <w:t>Висновки до розділу 2</w:t>
      </w:r>
      <w:bookmarkEnd w:id="14"/>
    </w:p>
    <w:p w14:paraId="24AD9DEA" w14:textId="77777777" w:rsidR="00210A26" w:rsidRDefault="00210A26" w:rsidP="002015DF">
      <w:pPr>
        <w:spacing w:after="0" w:line="360" w:lineRule="auto"/>
        <w:ind w:firstLine="706"/>
        <w:jc w:val="both"/>
        <w:rPr>
          <w:rFonts w:ascii="Times New Roman" w:eastAsia="Times New Roman" w:hAnsi="Times New Roman" w:cs="Times New Roman"/>
          <w:color w:val="000000"/>
          <w:kern w:val="0"/>
          <w:sz w:val="28"/>
          <w:szCs w:val="28"/>
          <w14:ligatures w14:val="none"/>
        </w:rPr>
      </w:pPr>
    </w:p>
    <w:p w14:paraId="32D89109" w14:textId="77777777" w:rsidR="00210A26" w:rsidRDefault="00210A26" w:rsidP="002015DF">
      <w:pPr>
        <w:spacing w:after="0" w:line="360" w:lineRule="auto"/>
        <w:ind w:firstLine="706"/>
        <w:jc w:val="both"/>
        <w:rPr>
          <w:rFonts w:ascii="Times New Roman" w:eastAsia="Times New Roman" w:hAnsi="Times New Roman" w:cs="Times New Roman"/>
          <w:color w:val="000000"/>
          <w:kern w:val="0"/>
          <w:sz w:val="28"/>
          <w:szCs w:val="28"/>
          <w14:ligatures w14:val="none"/>
        </w:rPr>
      </w:pPr>
    </w:p>
    <w:p w14:paraId="693C32DA" w14:textId="338FE889"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Інвентаризація земель як структурний інструмент землевпорядкування формується через чітко окреслену послідовність етапів, які охоплюють підготовку, виконання та документальне оформлення результатів з наступною інтеграцією в систему державного кадастру. Проведення інвентаризації передбачає не лише геодезичні вимірювання та камеральну обробку, а й правову фіксацію меж, фактичного землекористування та відповідності функціонального призначення земельної ділянки до наявної документації. Особливої уваги потребують землі сільськогосподарського призначення державної та комунальної власності, де часто фіксується значний обсяг неоформленого користування, недієвих договорів, а також занедбаних або деградованих ділянок.</w:t>
      </w:r>
    </w:p>
    <w:p w14:paraId="4577C956"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Аналіз таких земель дозволяє створити просторову базу для подальшого прийняття управлінських рішень: рекультивація, передача в оренду, зміна </w:t>
      </w:r>
      <w:r w:rsidRPr="002015DF">
        <w:rPr>
          <w:rFonts w:ascii="Times New Roman" w:eastAsia="Calibri" w:hAnsi="Times New Roman" w:cs="Times New Roman"/>
          <w:color w:val="000000"/>
          <w:kern w:val="0"/>
          <w:sz w:val="28"/>
          <w:szCs w:val="28"/>
          <w14:ligatures w14:val="none"/>
        </w:rPr>
        <w:t>функціонального призначення, залучення до обігу. Виявлення невикористаних та неефективно оброблюваних ділянок супроводжується економічними розрахунками втрат та потенціалу інвестування. Організація взаємодії між замовниками і виконавцями інвентаризації базується на договірній моделі з чітким розподілом обов’язків, контролем якості й забезпеченням публічного доступу до результатів, що трансформує інвентаризацію у системний інструмент просторового управління.</w:t>
      </w:r>
    </w:p>
    <w:p w14:paraId="1F73B08D"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br w:type="page"/>
      </w:r>
    </w:p>
    <w:p w14:paraId="3448CF90" w14:textId="77777777" w:rsidR="002015DF" w:rsidRPr="002015DF" w:rsidRDefault="002015DF" w:rsidP="002015DF">
      <w:pPr>
        <w:spacing w:after="0" w:line="360" w:lineRule="auto"/>
        <w:ind w:firstLine="706"/>
        <w:jc w:val="center"/>
        <w:outlineLvl w:val="0"/>
        <w:rPr>
          <w:rFonts w:ascii="Times New Roman" w:eastAsia="Calibri" w:hAnsi="Times New Roman" w:cs="Times New Roman"/>
          <w:b/>
          <w:color w:val="000000"/>
          <w:kern w:val="0"/>
          <w:sz w:val="28"/>
          <w:szCs w:val="28"/>
          <w14:ligatures w14:val="none"/>
        </w:rPr>
      </w:pPr>
      <w:bookmarkStart w:id="15" w:name="_Toc194707116"/>
      <w:r w:rsidRPr="002015DF">
        <w:rPr>
          <w:rFonts w:ascii="Times New Roman" w:eastAsia="Times New Roman" w:hAnsi="Times New Roman" w:cs="Times New Roman"/>
          <w:b/>
          <w:color w:val="000000"/>
          <w:kern w:val="0"/>
          <w:sz w:val="28"/>
          <w:szCs w:val="28"/>
          <w14:ligatures w14:val="none"/>
        </w:rPr>
        <w:lastRenderedPageBreak/>
        <w:t xml:space="preserve">РОЗДІЛ 3 </w:t>
      </w:r>
    </w:p>
    <w:p w14:paraId="684FA5F2" w14:textId="77777777" w:rsidR="002015DF" w:rsidRPr="002015DF" w:rsidRDefault="002015DF" w:rsidP="002015DF">
      <w:pPr>
        <w:spacing w:after="0" w:line="360" w:lineRule="auto"/>
        <w:ind w:firstLine="706"/>
        <w:jc w:val="center"/>
        <w:outlineLvl w:val="0"/>
        <w:rPr>
          <w:rFonts w:ascii="Times New Roman" w:eastAsia="Calibri" w:hAnsi="Times New Roman" w:cs="Times New Roman"/>
          <w:b/>
          <w:color w:val="000000"/>
          <w:kern w:val="0"/>
          <w:sz w:val="28"/>
          <w:szCs w:val="28"/>
          <w14:ligatures w14:val="none"/>
        </w:rPr>
      </w:pPr>
      <w:r w:rsidRPr="002015DF">
        <w:rPr>
          <w:rFonts w:ascii="Times New Roman" w:eastAsia="Times New Roman" w:hAnsi="Times New Roman" w:cs="Times New Roman"/>
          <w:b/>
          <w:color w:val="000000"/>
          <w:kern w:val="0"/>
          <w:sz w:val="28"/>
          <w:szCs w:val="28"/>
          <w14:ligatures w14:val="none"/>
        </w:rPr>
        <w:t>ЗЕМЛЕВПОРЯДНЕ ЗНАЧЕННЯ ІНВЕНТАРИЗАЦІЇ ЗЕМЕЛЬ У СУЧАСНИХ УМОВАХ</w:t>
      </w:r>
      <w:bookmarkEnd w:id="15"/>
    </w:p>
    <w:p w14:paraId="529E1E90" w14:textId="77777777" w:rsidR="002015DF" w:rsidRPr="002015DF" w:rsidRDefault="002015DF" w:rsidP="002015DF">
      <w:pPr>
        <w:spacing w:after="0" w:line="360" w:lineRule="auto"/>
        <w:ind w:firstLine="706"/>
        <w:jc w:val="both"/>
        <w:rPr>
          <w:rFonts w:ascii="Times New Roman" w:eastAsia="Calibri" w:hAnsi="Times New Roman" w:cs="Times New Roman"/>
          <w:b/>
          <w:color w:val="000000"/>
          <w:kern w:val="0"/>
          <w:sz w:val="28"/>
          <w:szCs w:val="28"/>
          <w14:ligatures w14:val="none"/>
        </w:rPr>
      </w:pPr>
    </w:p>
    <w:p w14:paraId="17075880" w14:textId="77777777" w:rsidR="002015DF" w:rsidRPr="002015DF" w:rsidRDefault="002015DF" w:rsidP="002015DF">
      <w:pPr>
        <w:spacing w:after="0" w:line="360" w:lineRule="auto"/>
        <w:ind w:firstLine="706"/>
        <w:jc w:val="both"/>
        <w:outlineLvl w:val="1"/>
        <w:rPr>
          <w:rFonts w:ascii="Times New Roman" w:eastAsia="Calibri" w:hAnsi="Times New Roman" w:cs="Times New Roman"/>
          <w:b/>
          <w:color w:val="000000"/>
          <w:kern w:val="0"/>
          <w:sz w:val="28"/>
          <w:szCs w:val="28"/>
          <w14:ligatures w14:val="none"/>
        </w:rPr>
      </w:pPr>
      <w:bookmarkStart w:id="16" w:name="_Toc194707117"/>
      <w:r w:rsidRPr="002015DF">
        <w:rPr>
          <w:rFonts w:ascii="Times New Roman" w:eastAsia="Times New Roman" w:hAnsi="Times New Roman" w:cs="Times New Roman"/>
          <w:b/>
          <w:color w:val="000000"/>
          <w:kern w:val="0"/>
          <w:sz w:val="28"/>
          <w:szCs w:val="28"/>
          <w14:ligatures w14:val="none"/>
        </w:rPr>
        <w:t xml:space="preserve">3.1 </w:t>
      </w:r>
      <w:r w:rsidRPr="002015DF">
        <w:rPr>
          <w:rFonts w:ascii="Times New Roman" w:eastAsia="Calibri" w:hAnsi="Times New Roman" w:cs="Times New Roman"/>
          <w:b/>
          <w:bCs/>
          <w:color w:val="000000"/>
          <w:kern w:val="0"/>
          <w:sz w:val="28"/>
          <w:szCs w:val="28"/>
          <w14:ligatures w14:val="none"/>
        </w:rPr>
        <w:t>Використання результатів інвентаризації при плануванні землекористування</w:t>
      </w:r>
      <w:bookmarkEnd w:id="16"/>
    </w:p>
    <w:p w14:paraId="0456383A" w14:textId="77777777" w:rsidR="00210A26" w:rsidRDefault="00210A26" w:rsidP="002015DF">
      <w:pPr>
        <w:spacing w:after="0" w:line="360" w:lineRule="auto"/>
        <w:ind w:firstLine="706"/>
        <w:jc w:val="both"/>
        <w:rPr>
          <w:rFonts w:ascii="Times New Roman" w:eastAsia="Times New Roman" w:hAnsi="Times New Roman" w:cs="Times New Roman"/>
          <w:color w:val="000000"/>
          <w:kern w:val="0"/>
          <w:sz w:val="28"/>
          <w:szCs w:val="28"/>
          <w14:ligatures w14:val="none"/>
        </w:rPr>
      </w:pPr>
    </w:p>
    <w:p w14:paraId="72E09A06" w14:textId="77777777" w:rsidR="00210A26" w:rsidRDefault="00210A26" w:rsidP="002015DF">
      <w:pPr>
        <w:spacing w:after="0" w:line="360" w:lineRule="auto"/>
        <w:ind w:firstLine="706"/>
        <w:jc w:val="both"/>
        <w:rPr>
          <w:rFonts w:ascii="Times New Roman" w:eastAsia="Times New Roman" w:hAnsi="Times New Roman" w:cs="Times New Roman"/>
          <w:color w:val="000000"/>
          <w:kern w:val="0"/>
          <w:sz w:val="28"/>
          <w:szCs w:val="28"/>
          <w14:ligatures w14:val="none"/>
        </w:rPr>
      </w:pPr>
    </w:p>
    <w:p w14:paraId="0FDAE658" w14:textId="7AB7A923"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Інвентаризаційні дані є структурною основою для формування ефективної системи просторового планування та управління землекористуванням в Україні. У контексті трансформації земельних відносин, децентралізації повноважень та розвитку геоінформаційних систем дані, отримані під час інвентаризації, слугують базовою вхідною інформацією для побудови схем функціонального зонування територій громад, розробки генеральних планів населених пунктів, схем планування територій об'єднаних територіальних громад, а також просторових планів субрегіонального рівня. Інвентаризація надає точні параметри площ, координат меж, типів угідь, реального землекористування, що дозволяє уникати спотворень, дублювання обліку або просторових конфліктів при плануванні [47, с. 4].</w:t>
      </w:r>
    </w:p>
    <w:p w14:paraId="5BC36827"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У технічному вимірі результати інвентаризації трансформуються у цифрові шари просторової інформації у форматах XML, SHP, </w:t>
      </w:r>
      <w:r w:rsidRPr="002015DF">
        <w:rPr>
          <w:rFonts w:ascii="Times New Roman" w:eastAsia="Calibri" w:hAnsi="Times New Roman" w:cs="Times New Roman"/>
          <w:color w:val="000000"/>
          <w:kern w:val="0"/>
          <w:sz w:val="28"/>
          <w:szCs w:val="28"/>
          <w14:ligatures w14:val="none"/>
        </w:rPr>
        <w:t xml:space="preserve">GeoJSON, що інтегруються в системи управління містобудівною документацією. Згідно з сучасними практиками, типовий блок інформації про земельну ділянку включає: кадастровий номер, координати меж у системі УСК-2000, категорію земель (рілля, пасовище, ліс, забудова тощо), форму власності, цільове призначення, фактичне використання, наявність обмежень, відомості про реєстрацію прав. Наприклад, при створенні схеми функціонального зонування території громади, яка включає 35 тис. га земель, використовується поділ на щонайменше 8 типових функціональних зон - аграрну, лісову, рекреаційну, промислову, транспортну, водоохоронну, зону житлової забудови, резервну. </w:t>
      </w:r>
      <w:r w:rsidRPr="002015DF">
        <w:rPr>
          <w:rFonts w:ascii="Times New Roman" w:eastAsia="Calibri" w:hAnsi="Times New Roman" w:cs="Times New Roman"/>
          <w:color w:val="000000"/>
          <w:kern w:val="0"/>
          <w:sz w:val="28"/>
          <w:szCs w:val="28"/>
          <w14:ligatures w14:val="none"/>
        </w:rPr>
        <w:lastRenderedPageBreak/>
        <w:t>Для кожної з них визначається норматив інтенсивності використання, обмеження щодо навантаження, допустимі режими користування, допустима щільність забудови, показники екологічної стійкості.</w:t>
      </w:r>
    </w:p>
    <w:p w14:paraId="727F841F"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Розрахунок співвідношення між функціональними зонами ґрунтується на інвентаризаційних даних. Якщо, наприклад, на території громади загальна площа земель становить 35 000 га, з них: рілля - 18 000 га, лісові угіддя - 5 000 га, пасовища - 3 000 га, водні об'єкти - 1 500 га, землі забудови - 2 500 га, інфраструктурні землі - 1 000 га, землі з невизначеним статусом - 4 000 га. Обрахунок частки кожної категорії здійснюється за формулою:</w:t>
      </w:r>
    </w:p>
    <w:p w14:paraId="20FC7EF1"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m:oMathPara>
        <m:oMath>
          <m:r>
            <m:rPr>
              <m:sty m:val="bi"/>
            </m:rPr>
            <w:rPr>
              <w:rFonts w:ascii="Cambria Math" w:eastAsia="Calibri" w:hAnsi="Cambria Math" w:cs="Times New Roman"/>
              <w:color w:val="000000"/>
              <w:kern w:val="0"/>
              <w:sz w:val="28"/>
              <w:szCs w:val="28"/>
              <w14:ligatures w14:val="none"/>
            </w:rPr>
            <m:t>Частка (%) = (Площа категорії / Загальна площа) × 100</m:t>
          </m:r>
        </m:oMath>
      </m:oMathPara>
    </w:p>
    <w:p w14:paraId="119EA9C3"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Для ріллі: (18 000 / 35 000) × 100 = 51.43%</w:t>
      </w:r>
    </w:p>
    <w:p w14:paraId="0EE358E3"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Для лісів: (5 000 / 35 000) × 100 = 14.29%</w:t>
      </w:r>
    </w:p>
    <w:p w14:paraId="42D5B509"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Для пасовищ: (3 000 / 35 000) × 100 = 8.57%</w:t>
      </w:r>
    </w:p>
    <w:p w14:paraId="1B8EF96E"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Для водних об’єктів: (1 500 / 35 000) × 100 = 4.29%</w:t>
      </w:r>
    </w:p>
    <w:p w14:paraId="5703BEA9"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Для забудови: (2 500 / 35 000) × 100 = 7.14%</w:t>
      </w:r>
    </w:p>
    <w:p w14:paraId="45B64118"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Для інфраструктури: (1 000 / 35 000) × 100 = 2.86%</w:t>
      </w:r>
    </w:p>
    <w:p w14:paraId="7BEC1E8A"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Для невизначених земель: (4 000 / 35 000) × 100 = 11.43%</w:t>
      </w:r>
    </w:p>
    <w:p w14:paraId="2C5C98C2"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У сумі ці частки дають 100.01% - що пояснюється округленням при розрахунках. Інвентаризація дозволяє виявити ці 11.43% невизначених земель і надати їм правовий статус, інтегрувати у відповідні функціональні зони або зарезервувати під суспільні потреби, зокрема для забезпечення сталого розвитку або збереження природного балансу.</w:t>
      </w:r>
    </w:p>
    <w:p w14:paraId="775D116E"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Дані інвентаризації мають вирішальне значення при актуалізації генеральних планів населених пунктів. Згідно з нормами ДБН Б.1.1-15:2012, при розробці генплану території обов’язковим є використання оновленої інформації про землекористування, межі існуючої забудови, </w:t>
      </w:r>
      <w:r w:rsidRPr="002015DF">
        <w:rPr>
          <w:rFonts w:ascii="Times New Roman" w:eastAsia="Calibri" w:hAnsi="Times New Roman" w:cs="Times New Roman"/>
          <w:color w:val="000000"/>
          <w:kern w:val="0"/>
          <w:sz w:val="28"/>
          <w:szCs w:val="28"/>
          <w14:ligatures w14:val="none"/>
        </w:rPr>
        <w:t xml:space="preserve">проєктні резерви розвитку, санітарно-захисні зони, інженерну інфраструктуру. При відсутності таких даних використовуються застарілі матеріали з ортофотопланів або архівів, що призводить до помилкових рішень у містобудівному плануванні. Інвентаризація забезпечує достовірну базу для розробки генерального плану, </w:t>
      </w:r>
      <w:r w:rsidRPr="002015DF">
        <w:rPr>
          <w:rFonts w:ascii="Times New Roman" w:eastAsia="Calibri" w:hAnsi="Times New Roman" w:cs="Times New Roman"/>
          <w:color w:val="000000"/>
          <w:kern w:val="0"/>
          <w:sz w:val="28"/>
          <w:szCs w:val="28"/>
          <w14:ligatures w14:val="none"/>
        </w:rPr>
        <w:lastRenderedPageBreak/>
        <w:t>що дозволяє уникнути конфліктів із землекористувачами, покращити логістику, скоротити терміни погодження документації, підвищити ефективність бюджетного планування [45, с. 3].</w:t>
      </w:r>
    </w:p>
    <w:p w14:paraId="4872A9B0"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На рівні просторового планування регіону інвентаризаційні дані використовуються як частина геоінформаційної бази регіонального плану управління земельними ресурсами. Зокрема, при визначенні зон ерозійного ризику, деградованих територій, неефективного використання, інвентаризація забезпечує кількісну базу для прийняття рішень. Наприклад, в області, де частка деградованих земель сягає 7.5% загальної площі сільськогосподарських угідь, а площа ріллі складає 1.1 млн га, площа деградованих угідь = 1 100 000 × 0.075 = 82 500 га. На підставі інвентаризаційних даних формується реєстр таких ділянок з урахуванням їх локалізації, потенціалу рекультивації та пріоритетності </w:t>
      </w:r>
      <w:r w:rsidRPr="002015DF">
        <w:rPr>
          <w:rFonts w:ascii="Times New Roman" w:eastAsia="Calibri" w:hAnsi="Times New Roman" w:cs="Times New Roman"/>
          <w:color w:val="000000"/>
          <w:kern w:val="0"/>
          <w:sz w:val="28"/>
          <w:szCs w:val="28"/>
          <w14:ligatures w14:val="none"/>
        </w:rPr>
        <w:t>втручань.</w:t>
      </w:r>
    </w:p>
    <w:p w14:paraId="71E4A12C"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Формування прогнозних моделей використання земельних ресурсів неможливе без достовірної інвентаризаційної основи. Наприклад, за допомогою програм </w:t>
      </w:r>
      <w:r w:rsidRPr="002015DF">
        <w:rPr>
          <w:rFonts w:ascii="Times New Roman" w:eastAsia="Calibri" w:hAnsi="Times New Roman" w:cs="Times New Roman"/>
          <w:color w:val="000000"/>
          <w:kern w:val="0"/>
          <w:sz w:val="28"/>
          <w:szCs w:val="28"/>
          <w14:ligatures w14:val="none"/>
        </w:rPr>
        <w:t>ArcGIS ModelBuilder, QGIS Processing або Python з бібліотекою geopandas формуються сценарії розвитку території, у яких обчислюється прогнозна зміна категорій використання на 10–15 років наперед. Припустимо, що з 18 000 га ріллі у 2025 році очікується поступовий перевід 5% площ під несільськогосподарське використання до 2035 року. Це становить: 18 000 × 0.05 = 900 га. Отже, при складанні просторового плану розвитку ці площі враховуються як зони змінного призначення з підвищеною увагою до екологічного навантаження та інженерної підготовки. На практиці використання інвентаризаційних даних дозволяє підвищити ефективність прийняття рішень на всіх рівнях: від планування меж населених пунктів до визначення зон для залучення інвестицій. У звітах Світового банку зазначено, що точне зонування на основі кадастрових і інвентаризаційних даних підвищує рентабельність земельних аукціонів на 20–35%, скорочує строки погодження генпланів на 6–9 місяців, а кількість правових спорів за землю знижується до 40% у межах перших 2–3 років після інтеграції повної інвентаризації [37, с. 3].</w:t>
      </w:r>
    </w:p>
    <w:p w14:paraId="4865660D" w14:textId="34D3BA4B" w:rsidR="00CD0F07" w:rsidRDefault="002015DF" w:rsidP="00CD0F07">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lastRenderedPageBreak/>
        <w:t>У сучасних умовах просторового планування в Україні врахування правового статусу та цільового призначення земельних ділянок при розробленні стратегій землекористування виступає фундаментальною передумовою ефективного управління земельним фондом територіальних громад і держави загалом. Дані інвентаризації забезпечують фіксацію поточного стану земель - їх меж, правових характеристик, функціонального використання, обтяжень, наявності правовстановлюючих документів, а також відповідності до цільового призначення, визначеного нормативно-правовими актами та державним земельним кадастром. Зіставлення цих параметрів дозволяє не лише виявляти розбіжності й правові колізії, а й формувати цілісну структуру просторового аналізу, яка інтегрується в програми соціально-економічного розвитку, документи просторового планування, галузеві стратегії та інвестиційні паспорти територій</w:t>
      </w:r>
      <w:r w:rsidR="00210A26">
        <w:rPr>
          <w:rFonts w:ascii="Times New Roman" w:eastAsia="Times New Roman" w:hAnsi="Times New Roman" w:cs="Times New Roman"/>
          <w:color w:val="000000"/>
          <w:kern w:val="0"/>
          <w:sz w:val="28"/>
          <w:szCs w:val="28"/>
          <w14:ligatures w14:val="none"/>
        </w:rPr>
        <w:t xml:space="preserve"> (таблиця 3.1)</w:t>
      </w:r>
      <w:r w:rsidRPr="002015DF">
        <w:rPr>
          <w:rFonts w:ascii="Times New Roman" w:eastAsia="Times New Roman" w:hAnsi="Times New Roman" w:cs="Times New Roman"/>
          <w:color w:val="000000"/>
          <w:kern w:val="0"/>
          <w:sz w:val="28"/>
          <w:szCs w:val="28"/>
          <w14:ligatures w14:val="none"/>
        </w:rPr>
        <w:t>.</w:t>
      </w:r>
      <w:r w:rsidR="00CD0F07">
        <w:rPr>
          <w:rFonts w:ascii="Times New Roman" w:eastAsia="Calibri" w:hAnsi="Times New Roman" w:cs="Times New Roman"/>
          <w:color w:val="000000"/>
          <w:kern w:val="0"/>
          <w:sz w:val="28"/>
          <w:szCs w:val="28"/>
          <w14:ligatures w14:val="none"/>
        </w:rPr>
        <w:t xml:space="preserve"> </w:t>
      </w:r>
    </w:p>
    <w:p w14:paraId="503C86D1" w14:textId="159030C3" w:rsidR="00210A26" w:rsidRPr="002015DF" w:rsidRDefault="00210A26" w:rsidP="00210A26">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Інвентаризаційні дані забезпечують актуалізацію інформації про правовий режим земель, що дозволяє визначити повноцінний правовий статус кожної ділянки, в тому числі наявність або відсутність державної реєстрації права власності, відповідність фактичного землекористування встановленому цільовому призначенню, наявність спеціального режиму використання (охоронні зони, обмеження відповідно до санітарно-гігієнічних норм, водоохоронних правил тощо). Для прикладу, у межах інвентаризації однієї з громад у Київській області виявлено, що з 12 500 га земель, лише 9 800 га мають зареєстроване право власності, а ще 1 700 га перебувають у фактичному користуванні без оформлення відповідних правовстановлюючих документів, тоді як 1 000 га взагалі не відображені в кадастрі як ділянки з визначеним правовим статусом. Таким чином, 13.6% території потребують невідкладної юридичної легалізації, а 8% - повної інтеграції до кадастрової системи.</w:t>
      </w:r>
    </w:p>
    <w:p w14:paraId="15499218" w14:textId="3D0CF304" w:rsidR="00A050BC" w:rsidRDefault="00A050BC">
      <w:pPr>
        <w:spacing w:line="360" w:lineRule="auto"/>
        <w:ind w:firstLine="706"/>
        <w:rPr>
          <w:rFonts w:ascii="Times New Roman" w:eastAsia="Calibri" w:hAnsi="Times New Roman" w:cs="Times New Roman"/>
          <w:color w:val="000000"/>
          <w:kern w:val="0"/>
          <w:sz w:val="28"/>
          <w:szCs w:val="28"/>
          <w14:ligatures w14:val="none"/>
        </w:rPr>
      </w:pPr>
    </w:p>
    <w:p w14:paraId="680392ED" w14:textId="77777777" w:rsidR="00210A26" w:rsidRDefault="00210A26">
      <w:pPr>
        <w:rPr>
          <w:rFonts w:ascii="Times New Roman" w:eastAsia="Times New Roman" w:hAnsi="Times New Roman" w:cs="Times New Roman"/>
          <w:color w:val="000000"/>
          <w:kern w:val="0"/>
          <w:sz w:val="28"/>
          <w:szCs w:val="28"/>
          <w14:ligatures w14:val="none"/>
        </w:rPr>
      </w:pPr>
      <w:r>
        <w:rPr>
          <w:rFonts w:ascii="Times New Roman" w:eastAsia="Times New Roman" w:hAnsi="Times New Roman" w:cs="Times New Roman"/>
          <w:color w:val="000000"/>
          <w:kern w:val="0"/>
          <w:sz w:val="28"/>
          <w:szCs w:val="28"/>
          <w14:ligatures w14:val="none"/>
        </w:rPr>
        <w:br w:type="page"/>
      </w:r>
    </w:p>
    <w:p w14:paraId="2DD45EC6" w14:textId="57AB7710" w:rsidR="002015DF" w:rsidRPr="002015DF" w:rsidRDefault="002015DF" w:rsidP="00CD0F07">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lastRenderedPageBreak/>
        <w:t>Таблиця 3.1 – Інвентаризація як основа прогнозного моделювання просторового розвитку земельних ресурсів</w:t>
      </w:r>
    </w:p>
    <w:tbl>
      <w:tblPr>
        <w:tblStyle w:val="ae"/>
        <w:tblW w:w="0" w:type="auto"/>
        <w:tblLook w:val="04A0" w:firstRow="1" w:lastRow="0" w:firstColumn="1" w:lastColumn="0" w:noHBand="0" w:noVBand="1"/>
      </w:tblPr>
      <w:tblGrid>
        <w:gridCol w:w="1868"/>
        <w:gridCol w:w="1869"/>
        <w:gridCol w:w="2029"/>
        <w:gridCol w:w="1869"/>
        <w:gridCol w:w="1869"/>
      </w:tblGrid>
      <w:tr w:rsidR="00C81213" w:rsidRPr="002015DF" w14:paraId="35648CB4" w14:textId="77777777" w:rsidTr="00CD4D98">
        <w:trPr>
          <w:cantSplit/>
        </w:trPr>
        <w:tc>
          <w:tcPr>
            <w:tcW w:w="1868" w:type="dxa"/>
          </w:tcPr>
          <w:p w14:paraId="3999A265"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Компонент прогнозування</w:t>
            </w:r>
          </w:p>
        </w:tc>
        <w:tc>
          <w:tcPr>
            <w:tcW w:w="1869" w:type="dxa"/>
          </w:tcPr>
          <w:p w14:paraId="55F7CBF7"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Технічні інструменти та методи</w:t>
            </w:r>
          </w:p>
        </w:tc>
        <w:tc>
          <w:tcPr>
            <w:tcW w:w="1869" w:type="dxa"/>
          </w:tcPr>
          <w:p w14:paraId="1E58A351"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Вихідні дані з інвентаризації</w:t>
            </w:r>
          </w:p>
        </w:tc>
        <w:tc>
          <w:tcPr>
            <w:tcW w:w="1869" w:type="dxa"/>
          </w:tcPr>
          <w:p w14:paraId="497E1312"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Приклади прогнозних обчислень</w:t>
            </w:r>
          </w:p>
        </w:tc>
        <w:tc>
          <w:tcPr>
            <w:tcW w:w="1869" w:type="dxa"/>
          </w:tcPr>
          <w:p w14:paraId="04AE7FAC"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Просторові наслідки</w:t>
            </w:r>
          </w:p>
        </w:tc>
      </w:tr>
      <w:tr w:rsidR="00C81213" w:rsidRPr="002015DF" w14:paraId="4FABC4A4" w14:textId="77777777" w:rsidTr="00CD4D98">
        <w:trPr>
          <w:cantSplit/>
        </w:trPr>
        <w:tc>
          <w:tcPr>
            <w:tcW w:w="1868" w:type="dxa"/>
          </w:tcPr>
          <w:p w14:paraId="6D76971A"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Моделювання зміни цільового використання</w:t>
            </w:r>
          </w:p>
        </w:tc>
        <w:tc>
          <w:tcPr>
            <w:tcW w:w="1869" w:type="dxa"/>
          </w:tcPr>
          <w:p w14:paraId="798FA5BF"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ArcGIS ModelBuilder, QGIS, Python + geopandas</w:t>
            </w:r>
          </w:p>
        </w:tc>
        <w:tc>
          <w:tcPr>
            <w:tcW w:w="1869" w:type="dxa"/>
          </w:tcPr>
          <w:p w14:paraId="16D68068"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Категорії земель, площі, межі, правовий статус</w:t>
            </w:r>
          </w:p>
        </w:tc>
        <w:tc>
          <w:tcPr>
            <w:tcW w:w="1869" w:type="dxa"/>
          </w:tcPr>
          <w:p w14:paraId="3E08DE89"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5% ріллі → нес/г використання: 18 000 га × 0.05 = 900 га</w:t>
            </w:r>
          </w:p>
        </w:tc>
        <w:tc>
          <w:tcPr>
            <w:tcW w:w="1869" w:type="dxa"/>
          </w:tcPr>
          <w:p w14:paraId="754E15EB"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Зони змінного призначення з новими функціями</w:t>
            </w:r>
          </w:p>
        </w:tc>
      </w:tr>
      <w:tr w:rsidR="00C81213" w:rsidRPr="002015DF" w14:paraId="20C8386D" w14:textId="77777777" w:rsidTr="00CD4D98">
        <w:trPr>
          <w:cantSplit/>
        </w:trPr>
        <w:tc>
          <w:tcPr>
            <w:tcW w:w="1868" w:type="dxa"/>
          </w:tcPr>
          <w:p w14:paraId="0BA3B38E"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Прогнозна зміна навантаження</w:t>
            </w:r>
          </w:p>
        </w:tc>
        <w:tc>
          <w:tcPr>
            <w:tcW w:w="1869" w:type="dxa"/>
          </w:tcPr>
          <w:p w14:paraId="222BF840"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Аналіз даних інтенсивності, демографії, інфраструктури</w:t>
            </w:r>
          </w:p>
        </w:tc>
        <w:tc>
          <w:tcPr>
            <w:tcW w:w="1869" w:type="dxa"/>
          </w:tcPr>
          <w:p w14:paraId="0BDF626E"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Щільність забудови, транспортна доступність</w:t>
            </w:r>
          </w:p>
        </w:tc>
        <w:tc>
          <w:tcPr>
            <w:tcW w:w="1869" w:type="dxa"/>
          </w:tcPr>
          <w:p w14:paraId="13CFCBC3"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Зміна індексу навантаження на екосистему</w:t>
            </w:r>
          </w:p>
        </w:tc>
        <w:tc>
          <w:tcPr>
            <w:tcW w:w="1869" w:type="dxa"/>
          </w:tcPr>
          <w:p w14:paraId="25C8BB5A"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Визначення зон для інженерної підготовки</w:t>
            </w:r>
          </w:p>
        </w:tc>
      </w:tr>
      <w:tr w:rsidR="00C81213" w:rsidRPr="002015DF" w14:paraId="40DEC798" w14:textId="77777777" w:rsidTr="00CD4D98">
        <w:trPr>
          <w:cantSplit/>
        </w:trPr>
        <w:tc>
          <w:tcPr>
            <w:tcW w:w="1868" w:type="dxa"/>
          </w:tcPr>
          <w:p w14:paraId="3C296113"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Оптимізація розміщення інвестиційних зон</w:t>
            </w:r>
          </w:p>
        </w:tc>
        <w:tc>
          <w:tcPr>
            <w:tcW w:w="1869" w:type="dxa"/>
          </w:tcPr>
          <w:p w14:paraId="1A7DE794"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Просторове перехресне аналізування з бізнес-параметрами</w:t>
            </w:r>
          </w:p>
        </w:tc>
        <w:tc>
          <w:tcPr>
            <w:tcW w:w="1869" w:type="dxa"/>
          </w:tcPr>
          <w:p w14:paraId="6B29CBCA"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Дані про інфраструктуру, землевласників, доступність</w:t>
            </w:r>
          </w:p>
        </w:tc>
        <w:tc>
          <w:tcPr>
            <w:tcW w:w="1869" w:type="dxa"/>
          </w:tcPr>
          <w:p w14:paraId="3D7BF8F9"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Перевага для логістики біля трас, с/г в агрокластерах</w:t>
            </w:r>
          </w:p>
        </w:tc>
        <w:tc>
          <w:tcPr>
            <w:tcW w:w="1869" w:type="dxa"/>
          </w:tcPr>
          <w:p w14:paraId="580B3435"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Просторова концентрація інвестиційного попиту</w:t>
            </w:r>
          </w:p>
        </w:tc>
      </w:tr>
      <w:tr w:rsidR="00C81213" w:rsidRPr="002015DF" w14:paraId="3ECF1419" w14:textId="77777777" w:rsidTr="00CD4D98">
        <w:trPr>
          <w:cantSplit/>
        </w:trPr>
        <w:tc>
          <w:tcPr>
            <w:tcW w:w="1868" w:type="dxa"/>
          </w:tcPr>
          <w:p w14:paraId="3D9BF31A"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Скорочення процедур узгодження</w:t>
            </w:r>
          </w:p>
        </w:tc>
        <w:tc>
          <w:tcPr>
            <w:tcW w:w="1869" w:type="dxa"/>
          </w:tcPr>
          <w:p w14:paraId="22CA00F7"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Інтеграція шарів даних у цифрові плани</w:t>
            </w:r>
          </w:p>
        </w:tc>
        <w:tc>
          <w:tcPr>
            <w:tcW w:w="1869" w:type="dxa"/>
          </w:tcPr>
          <w:p w14:paraId="3A93D960"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Актуалізовані кадастрові карти, правовий статус</w:t>
            </w:r>
          </w:p>
        </w:tc>
        <w:tc>
          <w:tcPr>
            <w:tcW w:w="1869" w:type="dxa"/>
          </w:tcPr>
          <w:p w14:paraId="550702F4"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Синхронізація з генпланом → скорочення на 6–9 міс.</w:t>
            </w:r>
          </w:p>
        </w:tc>
        <w:tc>
          <w:tcPr>
            <w:tcW w:w="1869" w:type="dxa"/>
          </w:tcPr>
          <w:p w14:paraId="090924A2"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Швидше погодження змін цільового призначення</w:t>
            </w:r>
          </w:p>
        </w:tc>
      </w:tr>
      <w:tr w:rsidR="00C81213" w:rsidRPr="002015DF" w14:paraId="70917A57" w14:textId="77777777" w:rsidTr="00CD4D98">
        <w:trPr>
          <w:cantSplit/>
          <w:trHeight w:val="70"/>
        </w:trPr>
        <w:tc>
          <w:tcPr>
            <w:tcW w:w="1868" w:type="dxa"/>
          </w:tcPr>
          <w:p w14:paraId="2942D43B"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Зниження конфліктності</w:t>
            </w:r>
          </w:p>
        </w:tc>
        <w:tc>
          <w:tcPr>
            <w:tcW w:w="1869" w:type="dxa"/>
          </w:tcPr>
          <w:p w14:paraId="03D4AA69"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Візуалізація даних для учасників планування</w:t>
            </w:r>
          </w:p>
        </w:tc>
        <w:tc>
          <w:tcPr>
            <w:tcW w:w="1869" w:type="dxa"/>
          </w:tcPr>
          <w:p w14:paraId="109A42DB"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Відкритість доступу до геоінформаційної системи</w:t>
            </w:r>
          </w:p>
        </w:tc>
        <w:tc>
          <w:tcPr>
            <w:tcW w:w="1869" w:type="dxa"/>
          </w:tcPr>
          <w:p w14:paraId="090394B1"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Зменшення непорозумінь і дублювання прав</w:t>
            </w:r>
          </w:p>
        </w:tc>
        <w:tc>
          <w:tcPr>
            <w:tcW w:w="1869" w:type="dxa"/>
          </w:tcPr>
          <w:p w14:paraId="696C0890" w14:textId="77777777" w:rsidR="00C81213" w:rsidRPr="002015DF" w:rsidRDefault="00C81213" w:rsidP="00210A26">
            <w:pPr>
              <w:ind w:firstLine="22"/>
              <w:rPr>
                <w:rFonts w:ascii="Times New Roman" w:eastAsia="Calibri" w:hAnsi="Times New Roman" w:cs="Times New Roman"/>
                <w:color w:val="000000"/>
                <w:sz w:val="24"/>
                <w:szCs w:val="24"/>
              </w:rPr>
            </w:pPr>
            <w:r w:rsidRPr="002015DF">
              <w:rPr>
                <w:rFonts w:ascii="Times New Roman" w:eastAsia="Calibri" w:hAnsi="Times New Roman" w:cs="Times New Roman"/>
                <w:sz w:val="24"/>
                <w:szCs w:val="24"/>
              </w:rPr>
              <w:t>Прозорість процедур розпорядження</w:t>
            </w:r>
          </w:p>
        </w:tc>
      </w:tr>
    </w:tbl>
    <w:p w14:paraId="033191B0" w14:textId="77777777" w:rsidR="00C81213" w:rsidRDefault="00C81213" w:rsidP="002015DF">
      <w:pPr>
        <w:spacing w:after="0" w:line="360" w:lineRule="auto"/>
        <w:ind w:firstLine="706"/>
        <w:jc w:val="both"/>
        <w:rPr>
          <w:rFonts w:ascii="Times New Roman" w:eastAsia="Times New Roman" w:hAnsi="Times New Roman" w:cs="Times New Roman"/>
          <w:color w:val="000000"/>
          <w:kern w:val="0"/>
          <w:sz w:val="28"/>
          <w:szCs w:val="28"/>
          <w14:ligatures w14:val="none"/>
        </w:rPr>
      </w:pPr>
    </w:p>
    <w:p w14:paraId="71B351AF"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У контексті розроблення стратегій землекористування інвентаризаційна основа дозволяє ідентифікувати реальні межі функціонального використання земель, що дає змогу сформувати науково обґрунтовані баланси територій. Зокрема, при складанні просторових планів розвитку громади визначається частка земель, які використовуються відповідно до свого цільового призначення, та частка земель, що зазнають функціонального перевантаження або змін призначення без належного оформлення. Наприклад, із 9 800 га зареєстрованих земель 7 400 га використовуються відповідно до призначення (аграрне виробництво, пасовища, забудова), 1 500 га - зі зміною характеру використання (наприклад, рілля перетворена на садиби), 900 га - під самовільною забудовою або нераціональною експлуатацією. Такий аналіз дозволяє оптимізувати просторову структуру, передбачити необхідність </w:t>
      </w:r>
      <w:r w:rsidRPr="002015DF">
        <w:rPr>
          <w:rFonts w:ascii="Times New Roman" w:eastAsia="Times New Roman" w:hAnsi="Times New Roman" w:cs="Times New Roman"/>
          <w:color w:val="000000"/>
          <w:kern w:val="0"/>
          <w:sz w:val="28"/>
          <w:szCs w:val="28"/>
          <w14:ligatures w14:val="none"/>
        </w:rPr>
        <w:lastRenderedPageBreak/>
        <w:t>рекультивації, змінити межі зон планування або підготувати ділянки для продажу, оренди, залучення інвестицій [54, с. 7].</w:t>
      </w:r>
    </w:p>
    <w:p w14:paraId="075192ED"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Землевпорядне значення інвентаризації також полягає у забезпеченні міжгалузевої узгодженості просторового розвитку. Результати інвентаризації інтегруються в системи містобудівного кадастру, екологічного моніторингу, інженерної інфраструктури, реєстрів прав. Ці дані слугують точкою перетину між стратегічними документами різного рівня - від генеральних планів населених пунктів до програм охорони навколишнього середовища, планів розвитку транспортної інфраструктури, карт екологічних загроз. Без такої узгодженості створюється ризик фрагментарності планування, дублювання функцій територій, порушення природоохоронного законодавства або неефективного використання бюджету. Приклади інтеграції інвентаризаційних даних у платформу </w:t>
      </w:r>
      <w:r w:rsidRPr="002015DF">
        <w:rPr>
          <w:rFonts w:ascii="Times New Roman" w:eastAsia="Calibri" w:hAnsi="Times New Roman" w:cs="Times New Roman"/>
          <w:color w:val="000000"/>
          <w:kern w:val="0"/>
          <w:sz w:val="28"/>
          <w:szCs w:val="28"/>
          <w14:ligatures w14:val="none"/>
        </w:rPr>
        <w:t>SmartCity показують, що за наявності структурованих цифрових даних рішення щодо зонування, передавання ділянок в оренду, узгодження проєктів відбуваються у 1.5–2 рази швидше, а кількість повернень документації на доопрацювання знижується на 30–35%.</w:t>
      </w:r>
    </w:p>
    <w:p w14:paraId="5F7E3462"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На практичному рівні інвентаризація дозволяє також будувати прогнозні моделі оптимізації землекористування. У межах модулів просторового аналізу </w:t>
      </w:r>
      <w:r w:rsidRPr="002015DF">
        <w:rPr>
          <w:rFonts w:ascii="Times New Roman" w:eastAsia="Calibri" w:hAnsi="Times New Roman" w:cs="Times New Roman"/>
          <w:color w:val="000000"/>
          <w:kern w:val="0"/>
          <w:sz w:val="28"/>
          <w:szCs w:val="28"/>
          <w14:ligatures w14:val="none"/>
        </w:rPr>
        <w:t>(ArcGIS, QGIS) створюються сценарні моделі на базі даних про категорії земель, правовий режим, функціональне навантаження, екологічний стан, обмеження. Для території громади площею 25 000 га можна згенерувати матрицю зміни категорій використання за 10-річний період. Наприклад, при прогнозованій урбанізації на рівні 2% щорічно очікуване зростання площі забудови становить:</w:t>
      </w:r>
    </w:p>
    <w:p w14:paraId="07AC8CD7"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m:oMathPara>
        <m:oMath>
          <m:r>
            <w:rPr>
              <w:rFonts w:ascii="Cambria Math" w:eastAsia="Calibri" w:hAnsi="Cambria Math" w:cs="Times New Roman"/>
              <w:color w:val="000000"/>
              <w:kern w:val="0"/>
              <w:sz w:val="28"/>
              <w:szCs w:val="28"/>
              <w14:ligatures w14:val="none"/>
            </w:rPr>
            <m:t>ΔП = П × К × Т = 25 000 × 0.02 × 10 = 5 000 га</m:t>
          </m:r>
        </m:oMath>
      </m:oMathPara>
    </w:p>
    <w:p w14:paraId="01A3C38A"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Це означає, що до 2035 року площа під забудовою може зрости на 5 000 га, які мають бути передбачені в генеральному плані, схемі зонування та супровідній документації. Такий сценарій формує підґрунтя для планування транспортного навантаження, інженерних мереж, екологічної компенсації та зон рекреації [59, с. 24].</w:t>
      </w:r>
    </w:p>
    <w:p w14:paraId="029137CA"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lastRenderedPageBreak/>
        <w:t xml:space="preserve">Інвентаризація створює умови для верифікації інформації між реєстрами: Державним земельним кадастром, Реєстром речових прав на нерухоме майно, Єдиним державним реєстром юридичних осіб і фізичних осіб-підприємців, Реєстром територіальних громад. Виявлені невідповідності - наприклад, розбіжність між кадастровими межами та фактичним використанням, відсутність записів про право власності на ділянки, які перебувають у господарському обробітку - стають підставою для юридичного врегулювання ситуацій, позовної діяльності або оновлення документації. За даними </w:t>
      </w:r>
      <w:r w:rsidRPr="002015DF">
        <w:rPr>
          <w:rFonts w:ascii="Times New Roman" w:eastAsia="Calibri" w:hAnsi="Times New Roman" w:cs="Times New Roman"/>
          <w:color w:val="000000"/>
          <w:kern w:val="0"/>
          <w:sz w:val="28"/>
          <w:szCs w:val="28"/>
          <w14:ligatures w14:val="none"/>
        </w:rPr>
        <w:t>Держгеокадастру, у 2023 році в межах пілотного проєкту на основі інвентаризації було ідентифіковано понад 2 300 ділянок, що використовувалися без належного оформлення, загальною площею понад 6 700 га, що дозволило забезпечити бюджетний ефект на понад 48 млн грн завдяки оформленню договорів оренди та надходженням від плати за землю.</w:t>
      </w:r>
    </w:p>
    <w:p w14:paraId="1815EBC5" w14:textId="77579808" w:rsid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767056E0" w14:textId="77777777" w:rsidR="00210A26" w:rsidRPr="002015DF" w:rsidRDefault="00210A26"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1C02AA10" w14:textId="607D8F39" w:rsidR="002015DF" w:rsidRPr="002015DF" w:rsidRDefault="002015DF" w:rsidP="002015DF">
      <w:pPr>
        <w:spacing w:after="0" w:line="360" w:lineRule="auto"/>
        <w:ind w:firstLine="706"/>
        <w:jc w:val="both"/>
        <w:outlineLvl w:val="1"/>
        <w:rPr>
          <w:rFonts w:ascii="Times New Roman" w:eastAsia="Calibri" w:hAnsi="Times New Roman" w:cs="Times New Roman"/>
          <w:b/>
          <w:bCs/>
          <w:color w:val="000000"/>
          <w:kern w:val="0"/>
          <w:sz w:val="28"/>
          <w:szCs w:val="28"/>
          <w14:ligatures w14:val="none"/>
        </w:rPr>
      </w:pPr>
      <w:bookmarkStart w:id="17" w:name="_Toc194707118"/>
      <w:r w:rsidRPr="002015DF">
        <w:rPr>
          <w:rFonts w:ascii="Times New Roman" w:eastAsia="Times New Roman" w:hAnsi="Times New Roman" w:cs="Times New Roman"/>
          <w:b/>
          <w:color w:val="000000"/>
          <w:kern w:val="0"/>
          <w:sz w:val="28"/>
          <w:szCs w:val="28"/>
          <w14:ligatures w14:val="none"/>
        </w:rPr>
        <w:t xml:space="preserve">3.2 </w:t>
      </w:r>
      <w:r w:rsidRPr="002015DF">
        <w:rPr>
          <w:rFonts w:ascii="Times New Roman" w:eastAsia="Calibri" w:hAnsi="Times New Roman" w:cs="Times New Roman"/>
          <w:b/>
          <w:bCs/>
          <w:color w:val="000000"/>
          <w:kern w:val="0"/>
          <w:sz w:val="28"/>
          <w:szCs w:val="28"/>
          <w14:ligatures w14:val="none"/>
        </w:rPr>
        <w:t>Формування кадастрової інформації та забезпечення її актуальності на основі інвентаризаційних даних</w:t>
      </w:r>
      <w:bookmarkEnd w:id="17"/>
    </w:p>
    <w:p w14:paraId="2D42E990" w14:textId="4EC1C5D6" w:rsid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7ACF8352" w14:textId="77777777" w:rsidR="00210A26" w:rsidRPr="002015DF" w:rsidRDefault="00210A26"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7B070EEA" w14:textId="55905AAD"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Формування кадастрової інформації та підтримання її актуального стану на основі даних інвентаризації є </w:t>
      </w:r>
      <w:r w:rsidRPr="002015DF">
        <w:rPr>
          <w:rFonts w:ascii="Times New Roman" w:eastAsia="Calibri" w:hAnsi="Times New Roman" w:cs="Times New Roman"/>
          <w:color w:val="000000"/>
          <w:kern w:val="0"/>
          <w:sz w:val="28"/>
          <w:szCs w:val="28"/>
          <w14:ligatures w14:val="none"/>
        </w:rPr>
        <w:t>структуро</w:t>
      </w:r>
      <w:r w:rsidR="005D787E">
        <w:rPr>
          <w:rFonts w:ascii="Times New Roman" w:eastAsia="Calibri" w:hAnsi="Times New Roman" w:cs="Times New Roman"/>
          <w:color w:val="000000"/>
          <w:kern w:val="0"/>
          <w:sz w:val="28"/>
          <w:szCs w:val="28"/>
          <w14:ligatures w14:val="none"/>
        </w:rPr>
        <w:t xml:space="preserve"> </w:t>
      </w:r>
      <w:r w:rsidRPr="002015DF">
        <w:rPr>
          <w:rFonts w:ascii="Times New Roman" w:eastAsia="Calibri" w:hAnsi="Times New Roman" w:cs="Times New Roman"/>
          <w:color w:val="000000"/>
          <w:kern w:val="0"/>
          <w:sz w:val="28"/>
          <w:szCs w:val="28"/>
          <w14:ligatures w14:val="none"/>
        </w:rPr>
        <w:t xml:space="preserve">утворювальним процесом у системі сучасного землевпорядкування в Україні. Інвентаризація виступає первинним джерелом просторово-атрибутивної інформації, яка дозволяє відобразити в державному земельному кадастрі фактичний стан землекористування, уніфікувати просторові координати меж земельних ділянок, уточнити їх цільове призначення, форму власності, обмеження у використанні, правовстановлюючі документи, а також відомості про зареєстровані права. Саме інвентаризаційні роботи забезпечують виявлення не врахованих у кадастрі земельних масивів, заповнення пропусків у цифровій структурі кадастру, коригування геометричних та правових даних відповідно до </w:t>
      </w:r>
      <w:r w:rsidRPr="002015DF">
        <w:rPr>
          <w:rFonts w:ascii="Times New Roman" w:eastAsia="Calibri" w:hAnsi="Times New Roman" w:cs="Times New Roman"/>
          <w:color w:val="000000"/>
          <w:kern w:val="0"/>
          <w:sz w:val="28"/>
          <w:szCs w:val="28"/>
          <w14:ligatures w14:val="none"/>
        </w:rPr>
        <w:lastRenderedPageBreak/>
        <w:t>реального використання території. За результатами практичних реалізацій у різних областях України встановлено, що до 10–14% території громад можуть мати відсутні або неактуальні дані в кадастрі, що створює потенційні ризики правового колапсу, втрати бюджетних надходжень, конфліктів між суб’єктами землеволодіння. Інвентаризація забезпечує коригування таких дисбалансів.</w:t>
      </w:r>
    </w:p>
    <w:p w14:paraId="58D42825"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Результати інвентаризаційних робіт оформлюються у вигляді структурованих наборів даних, які подаються в XML-форматі з описом геометричних, правових та функціональних характеристик кожної ділянки. Просторові дані зберігаються в геодезичній системі координат УСК-2000 з фіксацією поворотних точок меж із точністю до 0.1 м для урбанізованих територій і до 0.3 м для польових масивів. У кожному випадку формується графічне відображення меж у форматах SHP або </w:t>
      </w:r>
      <w:r w:rsidRPr="002015DF">
        <w:rPr>
          <w:rFonts w:ascii="Times New Roman" w:eastAsia="Calibri" w:hAnsi="Times New Roman" w:cs="Times New Roman"/>
          <w:color w:val="000000"/>
          <w:kern w:val="0"/>
          <w:sz w:val="28"/>
          <w:szCs w:val="28"/>
          <w14:ligatures w14:val="none"/>
        </w:rPr>
        <w:t xml:space="preserve">GeoJSON, яке інтегрується в автоматизовані системи обліку кадастрової інформації. Атрибутивна складова включає площу з точністю до 0.0001 га, кадастровий номер або тимчасовий ідентифікатор, категорію земель, цільове призначення згідно з чинним Класифікатором, наявність та характер обмежень, вид речового права, реквізити документа, на підставі якого виникло право, суб’єкта права із зазначенням коду ЄДРПОУ чи РНОКПП, дату реєстрації та дані про підставу внесення (інвентаризація, кадастрова зйомка, судове рішення). У разі виявлення неврахованих ділянок чи розбіжностей у правовій інформації система автоматично формує сигнали для відповідних органів державної влади або місцевого самоврядування для подальших юридичних дій </w:t>
      </w:r>
    </w:p>
    <w:p w14:paraId="5E1502B5"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Оновлення кадастрової інформації через інвентаризацію істотно скорочує часові та процедурні витрати. Якщо традиційна система обробки документації передбачала внесення змін упродовж 20–30 робочих днів, то із впровадженням цифрової інвентаризаційної моделі термін скоротився до 5–7 днів у разі правильного формування XML-файлів і проходження автоматизованої перевірки. Показовим є досвід Сумської області, де у межах територіальної громади з площею 41 000 га було інвентаризовано 39 750 га (96.9%), </w:t>
      </w:r>
      <w:r w:rsidRPr="002015DF">
        <w:rPr>
          <w:rFonts w:ascii="Times New Roman" w:eastAsia="Calibri" w:hAnsi="Times New Roman" w:cs="Times New Roman"/>
          <w:color w:val="000000"/>
          <w:kern w:val="0"/>
          <w:sz w:val="28"/>
          <w:szCs w:val="28"/>
          <w14:ligatures w14:val="none"/>
        </w:rPr>
        <w:t xml:space="preserve">внесено 4 180 нових ділянок до кадастру, відкориговано межі для 2 640 існуючих ділянок, </w:t>
      </w:r>
      <w:r w:rsidRPr="002015DF">
        <w:rPr>
          <w:rFonts w:ascii="Times New Roman" w:eastAsia="Calibri" w:hAnsi="Times New Roman" w:cs="Times New Roman"/>
          <w:color w:val="000000"/>
          <w:kern w:val="0"/>
          <w:sz w:val="28"/>
          <w:szCs w:val="28"/>
          <w14:ligatures w14:val="none"/>
        </w:rPr>
        <w:lastRenderedPageBreak/>
        <w:t>усунуто дублювання записів по 310 ділянках, а сумарна площа розбіжностей у фактичному й зареєстрованому землекористуванні сягала 1 180 га, що дозволило попередити втрати надходжень орієнтовно на 7.3 млн грн.</w:t>
      </w:r>
    </w:p>
    <w:p w14:paraId="6715CFD7"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Гармонізація кадастрової інформації на основі інвентаризаційних даних є не лише технічним, а й правовим процесом. Узгодження просторових контурів із правовим статусом земель дозволяє уникати накладань, забезпечити чіткість меж у межах одного кадастрового кварталу, синхронізувати реєстрацію прав із функціональним призначенням. Згідно з проведеним аналізом в Хмельницькій області, було зафіксовано понад 8% випадків, коли зареєстроване право власності не відповідало актуальному використанню, що суперечить положенням Земельного кодексу України, Закону «Про державний земельний кадастр» та призводить до необхідності коригування документів. Інвентаризація виступає інструментом виявлення таких </w:t>
      </w:r>
      <w:r w:rsidRPr="002015DF">
        <w:rPr>
          <w:rFonts w:ascii="Times New Roman" w:eastAsia="Calibri" w:hAnsi="Times New Roman" w:cs="Times New Roman"/>
          <w:color w:val="000000"/>
          <w:kern w:val="0"/>
          <w:sz w:val="28"/>
          <w:szCs w:val="28"/>
          <w14:ligatures w14:val="none"/>
        </w:rPr>
        <w:t>невідповідностей, з наступним їх усуненням через оновлення записів у кадастрі [40, с. 5].</w:t>
      </w:r>
    </w:p>
    <w:p w14:paraId="4AD34F22"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Важливою умовою забезпечення актуальності кадастрової інформації є інтеграція результатів інвентаризації із системами супутникового моніторингу та відкритими </w:t>
      </w:r>
      <w:r w:rsidRPr="002015DF">
        <w:rPr>
          <w:rFonts w:ascii="Times New Roman" w:eastAsia="Calibri" w:hAnsi="Times New Roman" w:cs="Times New Roman"/>
          <w:color w:val="000000"/>
          <w:kern w:val="0"/>
          <w:sz w:val="28"/>
          <w:szCs w:val="28"/>
          <w14:ligatures w14:val="none"/>
        </w:rPr>
        <w:t>геопорталами. Використання даних дистанційного зондування Землі, зокрема супутникових знімків Sentinel-2, Landsat-8 та аналізу індексу NDVI, дозволяє фіксувати зміни у характері землекористування в напівавтоматичному режимі. Наприклад, на базі порівняння інвентаризаційних даних із вегетаційними індексами виявляються самовільні зміни угідь, забудова без погодження, порушення меж. У 2023 році у Запорізькій області було виявлено понад 520 га територій, які були фактично переведені з сільськогосподарських під інші функції без внесення відповідних змін до кадастру. Інвентаризація стала базою для юридичного оформлення коригування та ініціювання адміністративних процедур.</w:t>
      </w:r>
    </w:p>
    <w:p w14:paraId="278FB800"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Після оцифрування та </w:t>
      </w:r>
      <w:r w:rsidRPr="002015DF">
        <w:rPr>
          <w:rFonts w:ascii="Times New Roman" w:eastAsia="Calibri" w:hAnsi="Times New Roman" w:cs="Times New Roman"/>
          <w:color w:val="000000"/>
          <w:kern w:val="0"/>
          <w:sz w:val="28"/>
          <w:szCs w:val="28"/>
          <w14:ligatures w14:val="none"/>
        </w:rPr>
        <w:t xml:space="preserve">геоприв’язки інвентаризаційних даних ці відомості інтегруються до платформ відкритих даних (зокрема geo.gov.ua), що забезпечує їх доступність для суспільства, інвесторів, архітекторів, органів місцевого самоврядування. Унаслідок цього підвищується довіра до системи земельного </w:t>
      </w:r>
      <w:r w:rsidRPr="002015DF">
        <w:rPr>
          <w:rFonts w:ascii="Times New Roman" w:eastAsia="Calibri" w:hAnsi="Times New Roman" w:cs="Times New Roman"/>
          <w:color w:val="000000"/>
          <w:kern w:val="0"/>
          <w:sz w:val="28"/>
          <w:szCs w:val="28"/>
          <w14:ligatures w14:val="none"/>
        </w:rPr>
        <w:lastRenderedPageBreak/>
        <w:t>адміністрування, зменшується рівень інформаційної асиметрії, виникають нові можливості для економічного планування. У випадку Львівської області, після повної інвентаризації земель комунальної власності та оновлення кадастрової інформації відбулося зростання кількості аукціонів на 21%, підвищення середньої орендної ставки на 17.6%, скорочення термінів погодження проектів землеустрою з 48 до 28 днів.</w:t>
      </w:r>
    </w:p>
    <w:p w14:paraId="4F929A03"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У межах сучасної землевпорядної парадигми формування та актуалізація кадастрової інформації є інструментом просторової верифікації правового режиму землекористування, який спирається на емпірично встановлені параметри об'єктів за результатами інвентаризаційних процедур. Виконання фактичних геодезичних обстежень, аерофотозйомки, супутникового картографування та польового уточнення меж земельних ділянок дозволяє подолати розрив між номінальною правовою документацією та реальним станом землекористування. У результаті інвентаризації виявляється цілий спектр </w:t>
      </w:r>
      <w:r w:rsidRPr="002015DF">
        <w:rPr>
          <w:rFonts w:ascii="Times New Roman" w:eastAsia="Calibri" w:hAnsi="Times New Roman" w:cs="Times New Roman"/>
          <w:color w:val="000000"/>
          <w:kern w:val="0"/>
          <w:sz w:val="28"/>
          <w:szCs w:val="28"/>
          <w14:ligatures w14:val="none"/>
        </w:rPr>
        <w:t>неточностей: просторові перекриття ділянок, відсутність координат меж, розбіжності у площах понад допустимі 3–5%, відсутність атрибутивної інформації щодо цільового призначення, форми власності, або помилки в кодах кадастрових кварталів. На практиці, за даними Держгеокадастру, в межах інвентаризації сільськогосподарських земель державної власності у 2021–2023 роках було встановлено, що 18% ділянок містять геометричні або правові розбіжності з уже внесеними до кадастру даними, що унеможливлює об'єктивне адміністрування земельного фонду.</w:t>
      </w:r>
    </w:p>
    <w:p w14:paraId="462B3FE7"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Актуалізація кадастру на підставі таких даних забезпечує підвищення достовірності записів шляхом імплементації емпіричних відомостей, отриманих не лише з документів, а й у процесі безпосереднього обстеження. Під час інвентаризації застосовуються прийоми GNSS-знімання в режимі RTK, що дає змогу досягати точності до 0.03 м, використовується фотограмметрична обробка знімків з БПЛА, що охоплює до 1000 га за одну зміну, а також </w:t>
      </w:r>
      <w:r w:rsidRPr="002015DF">
        <w:rPr>
          <w:rFonts w:ascii="Times New Roman" w:eastAsia="Calibri" w:hAnsi="Times New Roman" w:cs="Times New Roman"/>
          <w:color w:val="000000"/>
          <w:kern w:val="0"/>
          <w:sz w:val="28"/>
          <w:szCs w:val="28"/>
          <w14:ligatures w14:val="none"/>
        </w:rPr>
        <w:t xml:space="preserve">геоаналітичні моделі на основі індексу NDVI, NDMI, що відображають реальний характер використання ділянки. Результати таких процедур </w:t>
      </w:r>
      <w:r w:rsidRPr="002015DF">
        <w:rPr>
          <w:rFonts w:ascii="Times New Roman" w:eastAsia="Calibri" w:hAnsi="Times New Roman" w:cs="Times New Roman"/>
          <w:color w:val="000000"/>
          <w:kern w:val="0"/>
          <w:sz w:val="28"/>
          <w:szCs w:val="28"/>
          <w14:ligatures w14:val="none"/>
        </w:rPr>
        <w:lastRenderedPageBreak/>
        <w:t>формуються у вигляді цифрових об'єктів із структурованими атрибутами в форматах XML, SHP, GML, що відповідає технічним специфікаціям автоматизованого обміну з державними кадастровими сервісами. Так, у Полтавській області при уточненні даних щодо 7 320 ділянок було виявлено розбіжності площ у 1 135 об'єктів на суму понад 22 млн грн по земельному податку, що дозволило виправити ці записи та сформувати обґрунтовану податкову базу [25, с. 4].</w:t>
      </w:r>
    </w:p>
    <w:p w14:paraId="043F6075"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Публічність кадастрової інформації досягається не лише шляхом її технічного оновлення, а й через створення електронної екосистеми відкритого доступу, де результати інвентаризації інтегруються в єдині просторові сервіси. Такі сервіси включають публічну кадастрову карту, </w:t>
      </w:r>
      <w:r w:rsidRPr="002015DF">
        <w:rPr>
          <w:rFonts w:ascii="Times New Roman" w:eastAsia="Calibri" w:hAnsi="Times New Roman" w:cs="Times New Roman"/>
          <w:color w:val="000000"/>
          <w:kern w:val="0"/>
          <w:sz w:val="28"/>
          <w:szCs w:val="28"/>
          <w14:ligatures w14:val="none"/>
        </w:rPr>
        <w:t>геопортали громад, системи SmartGEO для управлінців, API-доступи до реєстрів для бізнесу й аналітики. У структурі публічних ресурсів громад дедалі частіше реалізуються дашборди моніторингу стану землекористування: показники фактичного заповнення кадастру, співвідношення між облікованими й неоформленими ділянками, площі самовільно зайнятих територій, кількість потенційно вільних для інвестування земель. У Броварській міській територіальній громаді після завершення інвентаризації було оприлюднено карту з 15 інформаційними шарами, де громадяни, інвестори, посадовці можуть перевірити правовий статус і використання кожної з 9 872 ділянок, що підвищило довіру до механізмів просторового управління.</w:t>
      </w:r>
    </w:p>
    <w:p w14:paraId="0E640C53"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Додатково забезпечення прозорості кадастрових даних реалізується через нормативне закріплення механізму верифікації записів усіма зацікавленими суб’єктами. Згідно з Порядком ведення Державного земельного кадастру, затвердженим постановою Кабінету Міністрів України №1051 від 17.10.2012, зміни, що подаються за результатами інвентаризації, мають супроводжуватися підписаним електронним документом із </w:t>
      </w:r>
      <w:r w:rsidRPr="002015DF">
        <w:rPr>
          <w:rFonts w:ascii="Times New Roman" w:eastAsia="Calibri" w:hAnsi="Times New Roman" w:cs="Times New Roman"/>
          <w:color w:val="000000"/>
          <w:kern w:val="0"/>
          <w:sz w:val="28"/>
          <w:szCs w:val="28"/>
          <w14:ligatures w14:val="none"/>
        </w:rPr>
        <w:t xml:space="preserve">геопросторовою прив’язкою та погодженням з органом місцевого самоврядування. За умови електронної подачі, оновлення може бути виконано за 72 години після проходження перевірки файлів XML-контролем, тоді як раніше цей процес займав до 30 днів. </w:t>
      </w:r>
      <w:r w:rsidRPr="002015DF">
        <w:rPr>
          <w:rFonts w:ascii="Times New Roman" w:eastAsia="Calibri" w:hAnsi="Times New Roman" w:cs="Times New Roman"/>
          <w:color w:val="000000"/>
          <w:kern w:val="0"/>
          <w:sz w:val="28"/>
          <w:szCs w:val="28"/>
          <w14:ligatures w14:val="none"/>
        </w:rPr>
        <w:lastRenderedPageBreak/>
        <w:t>Рівень своєчасності таких оновлень наразі у межах пілотних територій досяг 91.4%, що свідчить про ефективність поєднання польових інвентаризацій і цифрових інтерфейсів [52, с. 6].</w:t>
      </w:r>
    </w:p>
    <w:p w14:paraId="2F3978E3"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Внаслідок цього, інвентаризація виконує функцію наповнення та верифікації кадастру через фактичні джерела даних і гарантує публічність усіх транзакцій у системі просторового управління. Поєднання цифрової точності, відкритості, геоінформаційного підходу та інтеграції з суміжними реєстрами дозволяє формувати кадастр як інструмент прогнозованого управління територіями, а не лише реєстраційний архів. У контексті децентралізації, кожна громада отримує змогу будувати власну систему прийняття рішень на основі актуальних просторових даних, які походять із процедур інвентаризації. У перспективі саме такий підхід забезпечує можливість трансформації кадастрової системи з реактивної в </w:t>
      </w:r>
      <w:r w:rsidRPr="002015DF">
        <w:rPr>
          <w:rFonts w:ascii="Times New Roman" w:eastAsia="Calibri" w:hAnsi="Times New Roman" w:cs="Times New Roman"/>
          <w:color w:val="000000"/>
          <w:kern w:val="0"/>
          <w:sz w:val="28"/>
          <w:szCs w:val="28"/>
          <w14:ligatures w14:val="none"/>
        </w:rPr>
        <w:t>проактивну, де дані формуються не лише внаслідок подачі документа, а через комплексний моніторинг простору й постійну інвентаризаційну підтримку.</w:t>
      </w:r>
    </w:p>
    <w:p w14:paraId="4ADF60CD" w14:textId="1DF374CB" w:rsid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1FD45056" w14:textId="77777777" w:rsidR="005D787E" w:rsidRPr="002015DF" w:rsidRDefault="005D787E" w:rsidP="002015DF">
      <w:pPr>
        <w:spacing w:after="0" w:line="360" w:lineRule="auto"/>
        <w:ind w:firstLine="706"/>
        <w:jc w:val="both"/>
        <w:rPr>
          <w:rFonts w:ascii="Times New Roman" w:eastAsia="Calibri" w:hAnsi="Times New Roman" w:cs="Times New Roman"/>
          <w:color w:val="000000"/>
          <w:kern w:val="0"/>
          <w:sz w:val="28"/>
          <w:szCs w:val="28"/>
          <w14:ligatures w14:val="none"/>
        </w:rPr>
      </w:pPr>
    </w:p>
    <w:p w14:paraId="7691651F" w14:textId="77777777" w:rsidR="002015DF" w:rsidRPr="002015DF" w:rsidRDefault="002015DF" w:rsidP="002015DF">
      <w:pPr>
        <w:spacing w:after="0" w:line="360" w:lineRule="auto"/>
        <w:ind w:firstLine="706"/>
        <w:jc w:val="both"/>
        <w:outlineLvl w:val="1"/>
        <w:rPr>
          <w:rFonts w:ascii="Times New Roman" w:eastAsia="Calibri" w:hAnsi="Times New Roman" w:cs="Times New Roman"/>
          <w:color w:val="000000"/>
          <w:kern w:val="0"/>
          <w:sz w:val="28"/>
          <w:szCs w:val="28"/>
          <w14:ligatures w14:val="none"/>
        </w:rPr>
      </w:pPr>
      <w:bookmarkStart w:id="18" w:name="_Toc194707119"/>
      <w:r w:rsidRPr="002015DF">
        <w:rPr>
          <w:rFonts w:ascii="Times New Roman" w:eastAsia="Times New Roman" w:hAnsi="Times New Roman" w:cs="Times New Roman"/>
          <w:b/>
          <w:bCs/>
          <w:color w:val="000000"/>
          <w:kern w:val="0"/>
          <w:sz w:val="28"/>
          <w:szCs w:val="28"/>
          <w14:ligatures w14:val="none"/>
        </w:rPr>
        <w:t>Висновки до розділу 3</w:t>
      </w:r>
      <w:bookmarkEnd w:id="18"/>
    </w:p>
    <w:p w14:paraId="2FC7CC7F" w14:textId="77777777" w:rsidR="005D787E" w:rsidRDefault="005D787E" w:rsidP="002015DF">
      <w:pPr>
        <w:spacing w:after="0" w:line="360" w:lineRule="auto"/>
        <w:ind w:firstLine="706"/>
        <w:jc w:val="both"/>
        <w:rPr>
          <w:rFonts w:ascii="Times New Roman" w:eastAsia="Times New Roman" w:hAnsi="Times New Roman" w:cs="Times New Roman"/>
          <w:color w:val="000000"/>
          <w:kern w:val="0"/>
          <w:sz w:val="28"/>
          <w:szCs w:val="28"/>
          <w14:ligatures w14:val="none"/>
        </w:rPr>
      </w:pPr>
    </w:p>
    <w:p w14:paraId="673E58CE" w14:textId="77777777" w:rsidR="005D787E" w:rsidRDefault="005D787E" w:rsidP="002015DF">
      <w:pPr>
        <w:spacing w:after="0" w:line="360" w:lineRule="auto"/>
        <w:ind w:firstLine="706"/>
        <w:jc w:val="both"/>
        <w:rPr>
          <w:rFonts w:ascii="Times New Roman" w:eastAsia="Times New Roman" w:hAnsi="Times New Roman" w:cs="Times New Roman"/>
          <w:color w:val="000000"/>
          <w:kern w:val="0"/>
          <w:sz w:val="28"/>
          <w:szCs w:val="28"/>
          <w14:ligatures w14:val="none"/>
        </w:rPr>
      </w:pPr>
    </w:p>
    <w:p w14:paraId="42E14F7F" w14:textId="1EFCE733"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Інвентаризація земель у сучасних умовах функціонує як механізм що забезпечує системність, повноту й достовірність процесів планування землекористування та актуалізації кадастрової інформації. Дані, отримані в процесі інвентаризації, дають змогу формувати цілісні схеми функціонального </w:t>
      </w:r>
      <w:r w:rsidRPr="002015DF">
        <w:rPr>
          <w:rFonts w:ascii="Times New Roman" w:eastAsia="Calibri" w:hAnsi="Times New Roman" w:cs="Times New Roman"/>
          <w:color w:val="000000"/>
          <w:kern w:val="0"/>
          <w:sz w:val="28"/>
          <w:szCs w:val="28"/>
          <w14:ligatures w14:val="none"/>
        </w:rPr>
        <w:t xml:space="preserve">зонування, розробляти генеральні плани територій з урахуванням фактичного стану угідь, правового статусу та просторових характеристик землекористування. Інвентаризаційні матеріали дозволяють виявити просторові конфлікти, неузгодженості, дублювання кадастрових номерів, що перешкоджає сталому територіальному розвитку. Саме завдяки детальному картографуванню, геодезичним вимірюванням і супутниковому моніторингу </w:t>
      </w:r>
      <w:r w:rsidRPr="002015DF">
        <w:rPr>
          <w:rFonts w:ascii="Times New Roman" w:eastAsia="Calibri" w:hAnsi="Times New Roman" w:cs="Times New Roman"/>
          <w:color w:val="000000"/>
          <w:kern w:val="0"/>
          <w:sz w:val="28"/>
          <w:szCs w:val="28"/>
          <w14:ligatures w14:val="none"/>
        </w:rPr>
        <w:lastRenderedPageBreak/>
        <w:t>формується точна просторово-правова основа для стратегічного управління земельними ресурсами. У межах кадастрової системи інвентаризація є джерелом оперативного оновлення відомостей про ділянки, усунення похибок та прогалин у реєстрах, інтеграції даних у відкриті геопортали, що підвищує прозорість і публічність. Таким чином, інвентаризація виконує не лише функцію обліку, а й слугує базисом для прогнозованого просторового розвитку, підвищення ефективності управління земельним фондом, дотримання правового режиму та цифровізації державної земельної політики.</w:t>
      </w:r>
    </w:p>
    <w:p w14:paraId="58B39114" w14:textId="715EA37A" w:rsidR="002015DF" w:rsidRPr="00C81213" w:rsidRDefault="002015DF" w:rsidP="00A050BC">
      <w:pPr>
        <w:spacing w:after="0" w:line="360" w:lineRule="auto"/>
        <w:ind w:firstLine="706"/>
        <w:jc w:val="both"/>
        <w:rPr>
          <w:rFonts w:ascii="Times New Roman" w:eastAsia="Calibri" w:hAnsi="Times New Roman" w:cs="Times New Roman"/>
          <w:color w:val="000000"/>
          <w:kern w:val="0"/>
          <w:sz w:val="28"/>
          <w:szCs w:val="28"/>
          <w14:ligatures w14:val="none"/>
        </w:rPr>
      </w:pPr>
    </w:p>
    <w:p w14:paraId="1A19AB0F" w14:textId="77777777" w:rsidR="0011701A" w:rsidRDefault="0011701A">
      <w:pPr>
        <w:rPr>
          <w:rFonts w:ascii="Times New Roman" w:eastAsia="Times New Roman" w:hAnsi="Times New Roman" w:cs="Times New Roman"/>
          <w:b/>
          <w:color w:val="000000"/>
          <w:kern w:val="0"/>
          <w:sz w:val="28"/>
          <w:szCs w:val="28"/>
          <w14:ligatures w14:val="none"/>
        </w:rPr>
      </w:pPr>
      <w:bookmarkStart w:id="19" w:name="_Toc194707120"/>
      <w:r>
        <w:rPr>
          <w:rFonts w:ascii="Times New Roman" w:eastAsia="Times New Roman" w:hAnsi="Times New Roman" w:cs="Times New Roman"/>
          <w:b/>
          <w:color w:val="000000"/>
          <w:kern w:val="0"/>
          <w:sz w:val="28"/>
          <w:szCs w:val="28"/>
          <w14:ligatures w14:val="none"/>
        </w:rPr>
        <w:br w:type="page"/>
      </w:r>
    </w:p>
    <w:p w14:paraId="7BD19337" w14:textId="74A286C8" w:rsidR="002015DF" w:rsidRPr="002015DF" w:rsidRDefault="002015DF" w:rsidP="002015DF">
      <w:pPr>
        <w:spacing w:after="0" w:line="360" w:lineRule="auto"/>
        <w:ind w:firstLine="706"/>
        <w:jc w:val="center"/>
        <w:outlineLvl w:val="0"/>
        <w:rPr>
          <w:rFonts w:ascii="Times New Roman" w:eastAsia="Calibri" w:hAnsi="Times New Roman" w:cs="Times New Roman"/>
          <w:b/>
          <w:color w:val="000000"/>
          <w:kern w:val="0"/>
          <w:sz w:val="28"/>
          <w:szCs w:val="28"/>
          <w14:ligatures w14:val="none"/>
        </w:rPr>
      </w:pPr>
      <w:r w:rsidRPr="002015DF">
        <w:rPr>
          <w:rFonts w:ascii="Times New Roman" w:eastAsia="Times New Roman" w:hAnsi="Times New Roman" w:cs="Times New Roman"/>
          <w:b/>
          <w:color w:val="000000"/>
          <w:kern w:val="0"/>
          <w:sz w:val="28"/>
          <w:szCs w:val="28"/>
          <w14:ligatures w14:val="none"/>
        </w:rPr>
        <w:lastRenderedPageBreak/>
        <w:t>ВИСНОВКИ</w:t>
      </w:r>
      <w:bookmarkEnd w:id="19"/>
    </w:p>
    <w:p w14:paraId="320994D9" w14:textId="77777777" w:rsidR="002015DF" w:rsidRPr="002015DF" w:rsidRDefault="002015DF" w:rsidP="002015DF">
      <w:pPr>
        <w:spacing w:after="0" w:line="360" w:lineRule="auto"/>
        <w:ind w:firstLine="706"/>
        <w:jc w:val="center"/>
        <w:rPr>
          <w:rFonts w:ascii="Times New Roman" w:eastAsia="Calibri" w:hAnsi="Times New Roman" w:cs="Times New Roman"/>
          <w:b/>
          <w:color w:val="000000"/>
          <w:kern w:val="0"/>
          <w:sz w:val="28"/>
          <w:szCs w:val="28"/>
          <w14:ligatures w14:val="none"/>
        </w:rPr>
      </w:pPr>
    </w:p>
    <w:p w14:paraId="34A02A04"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Інвентаризація земель у сучасній системі землевпорядкування України формується як багатоетапна процедура, що поєднує правову </w:t>
      </w:r>
      <w:r w:rsidRPr="002015DF">
        <w:rPr>
          <w:rFonts w:ascii="Times New Roman" w:eastAsia="Calibri" w:hAnsi="Times New Roman" w:cs="Times New Roman"/>
          <w:color w:val="000000"/>
          <w:kern w:val="0"/>
          <w:sz w:val="28"/>
          <w:szCs w:val="28"/>
          <w14:ligatures w14:val="none"/>
        </w:rPr>
        <w:t>нормотворчість, просторово-аналітичну фіксацію, облікову уніфікацію та кадастрову інфраструктурну підтримку. На першому етапі дослідження було теоретично обґрунтовано інвентаризацію як комплекс організаційно-правових і технічних дій, спрямованих на виявлення, опис, фіксацію, правову легітимацію та аналітичне упорядкування землеволодінь. Інвентаризація виявляється не лише засобом ідентифікації фактичного стану земельних ділянок, а й платформою для забезпечення системного контролю за дотриманням законності у сфері землекористування, для розроблення просторових стратегій і земельного планування. Її мета охоплює три взаємопов’язані площини: правову - забезпечення законності, економічну - підґрунтя для фіскального адміністрування, та просторову - реєстрацію топографічного і функціонального стану ділянок. У межах законодавчої системи інвентаризація врегульована положеннями Земельного кодексу України, Закону «Про державний земельний кадастр», численними нормативно-правовими актами Кабінету Міністрів України, що визначають процедури ініціації, затвердження, погодження, інтеграції та фінансування робіт. Окреслено чіткі компетенції органів виконавчої влади й місцевого самоврядування, які мають здійснювати погодження технічного завдання, перевірку цифрових матеріалів та затвердження графічної документації.</w:t>
      </w:r>
    </w:p>
    <w:p w14:paraId="7F78A57B"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Дослідження процедури організації та проведення інвентаризації показало, що практична реалізація охоплює декілька чітко структурованих етапів: підготовчий, польовий, камеральний і цифровий. На першому етапі здійснюється формування технічного завдання, підбір виконавців, аналіз джерел інформації, відбір і погодження вихідних картографічних та правових матеріалів. Далі реалізується безпосереднє польове обстеження ділянок, GNSS-знімання, фіксація геометрії об’єктів, уточнення меж, збір атрибутивної </w:t>
      </w:r>
      <w:r w:rsidRPr="002015DF">
        <w:rPr>
          <w:rFonts w:ascii="Times New Roman" w:eastAsia="Times New Roman" w:hAnsi="Times New Roman" w:cs="Times New Roman"/>
          <w:color w:val="000000"/>
          <w:kern w:val="0"/>
          <w:sz w:val="28"/>
          <w:szCs w:val="28"/>
          <w14:ligatures w14:val="none"/>
        </w:rPr>
        <w:lastRenderedPageBreak/>
        <w:t xml:space="preserve">інформації. Камеральна стадія передбачає обробку та </w:t>
      </w:r>
      <w:r w:rsidRPr="002015DF">
        <w:rPr>
          <w:rFonts w:ascii="Times New Roman" w:eastAsia="Calibri" w:hAnsi="Times New Roman" w:cs="Times New Roman"/>
          <w:color w:val="000000"/>
          <w:kern w:val="0"/>
          <w:sz w:val="28"/>
          <w:szCs w:val="28"/>
          <w14:ligatures w14:val="none"/>
        </w:rPr>
        <w:t>валідацію даних, зіставлення з наявною кадастровою інформацією, а також підготовку звітної документації, планів, баз даних. Фінальна стадія - цифрова - охоплює створення структурованих просторових об’єктів (формати XML, SHP, GML), інтеграцію до ДЗК, передачу в місцеві геопортали, формування дашбордів громад. Ефективність реалізації процедури залежить від скоординованої взаємодії між органами самоврядування, сертифікованими виконавцями та державними інституціями. Доведено, що правильно вибудувана договірна модель та електронна взаємодія дає змогу зменшити часові витрати на погодження в середньому на 39% і забезпечити зменшення кількості відмов у реєстрації даних на 23% у порівнянні з неінвентаризованими територіями.</w:t>
      </w:r>
    </w:p>
    <w:p w14:paraId="52714B34"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Інвентаризація земель сільськогосподарського призначення державної та комунальної власності виявила численні проблеми, пов’язані з неефективним використанням, відсутністю правового оформлення, самовільним зайняттям і безповоротним виведенням угідь з обігу. У середньому до 17–23% земель </w:t>
      </w:r>
      <w:r w:rsidRPr="002015DF">
        <w:rPr>
          <w:rFonts w:ascii="Times New Roman" w:eastAsia="Calibri" w:hAnsi="Times New Roman" w:cs="Times New Roman"/>
          <w:color w:val="000000"/>
          <w:kern w:val="0"/>
          <w:sz w:val="28"/>
          <w:szCs w:val="28"/>
          <w14:ligatures w14:val="none"/>
        </w:rPr>
        <w:t>виявлялися не включеними до обліку або використовувалися без правовстановлюючих документів. У результаті процедури можливо не лише фіксувати такі ділянки, а й ініціювати подальші управлінські, адміністративні або судові кроки. Виявлення таких ділянок дозволяє також формувати банк резервних територій під рекультивацію, інвестування або трансформацію функціонального призначення. В окремих громадах після повної інвентаризації частка зарезервованих площ для індустріальних парків та зелених зон зросла на 8–12%, що свідчить про ефективність виявлення латентного земельного потенціалу. Інвентаризація також сприяє виявленню ділянок із неефективним використанням: відсутність сівозміни, деградація ґрунтів, порушення цільового призначення, що дозволяє коригувати стратегії землекористування.</w:t>
      </w:r>
    </w:p>
    <w:p w14:paraId="5F5EFCE7"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У рамках оцінки землевпорядного значення інвентаризації було встановлено, що саме її результати становлять базову основу для просторового планування, зонування, прогнозування розвитку інфраструктури, визначення напрямів забудови, сільськогосподарського розвитку, рекреаційного освоєння </w:t>
      </w:r>
      <w:r w:rsidRPr="002015DF">
        <w:rPr>
          <w:rFonts w:ascii="Times New Roman" w:eastAsia="Times New Roman" w:hAnsi="Times New Roman" w:cs="Times New Roman"/>
          <w:color w:val="000000"/>
          <w:kern w:val="0"/>
          <w:sz w:val="28"/>
          <w:szCs w:val="28"/>
          <w14:ligatures w14:val="none"/>
        </w:rPr>
        <w:lastRenderedPageBreak/>
        <w:t>територій. Дані інвентаризації інтегруються в генеральні плани, схеми планування, стратегії розвитку територіальних громад. При цьому забезпечується міжгалузева узгодженість - аграрна, екологічна, транспортна, соціальна - на основі єдиної просторової платформи. Застосування інвентаризаційної інформації при формуванні кадастрових записів дозволяє усунути дублювання, некоректні площі, відсутність координат, невідповідність типу угідь. Після завершення інвентаризаційних процедур до 21% записів у ДЗК в окремих громадах підлягали уточненню, 7–9% - оновленню за новими GNSS-координатами. Завдяки цифровій інтеграції з платформами типу geo.gov.ua та муніципальними геоінформаційними порталами забезпечується публічний доступ до оновленої інформації, що дозволяє громадянам, інвесторам і органам влади приймати рішення на основі актуальних просторових даних.</w:t>
      </w:r>
    </w:p>
    <w:p w14:paraId="5A192327" w14:textId="77777777" w:rsidR="002015DF" w:rsidRPr="002015DF" w:rsidRDefault="002015DF" w:rsidP="002015DF">
      <w:pPr>
        <w:spacing w:after="0" w:line="360" w:lineRule="auto"/>
        <w:ind w:firstLine="706"/>
        <w:jc w:val="both"/>
        <w:rPr>
          <w:rFonts w:ascii="Times New Roman" w:eastAsia="Calibri" w:hAnsi="Times New Roman" w:cs="Times New Roman"/>
          <w:color w:val="000000"/>
          <w:kern w:val="0"/>
          <w:sz w:val="28"/>
          <w:szCs w:val="28"/>
          <w14:ligatures w14:val="none"/>
        </w:rPr>
      </w:pPr>
      <w:r w:rsidRPr="002015DF">
        <w:rPr>
          <w:rFonts w:ascii="Times New Roman" w:eastAsia="Times New Roman" w:hAnsi="Times New Roman" w:cs="Times New Roman"/>
          <w:color w:val="000000"/>
          <w:kern w:val="0"/>
          <w:sz w:val="28"/>
          <w:szCs w:val="28"/>
          <w14:ligatures w14:val="none"/>
        </w:rPr>
        <w:t xml:space="preserve">Таким чином, інвентаризація земель є комплексним багатоцільовим інструментом державного та муніципального управління. Її значення полягає не лише у формальному зборі даних, а у створенні умов для правового захисту </w:t>
      </w:r>
      <w:r w:rsidRPr="002015DF">
        <w:rPr>
          <w:rFonts w:ascii="Times New Roman" w:eastAsia="Calibri" w:hAnsi="Times New Roman" w:cs="Times New Roman"/>
          <w:color w:val="000000"/>
          <w:kern w:val="0"/>
          <w:sz w:val="28"/>
          <w:szCs w:val="28"/>
          <w14:ligatures w14:val="none"/>
        </w:rPr>
        <w:t>земель, фіскальної ефективності, прозорості, аналітичного прогнозування та підвищення якості просторового управління. Результати роботи підтверджують, що інвентаризація здатна перетворити систему обліку земель з формальної на аналітично-стратегічну, забезпечуючи обґрунтоване управління ресурсами на основі об’єктивної та структурованої інформації.</w:t>
      </w:r>
    </w:p>
    <w:p w14:paraId="40B33C4F" w14:textId="3DA14AEB" w:rsidR="001C32F3" w:rsidRDefault="001C32F3">
      <w:pPr>
        <w:spacing w:line="360" w:lineRule="auto"/>
        <w:ind w:firstLine="706"/>
      </w:pPr>
      <w:r>
        <w:rPr>
          <w:rFonts w:ascii="Times New Roman" w:eastAsia="Times New Roman" w:hAnsi="Times New Roman"/>
          <w:sz w:val="28"/>
        </w:rPr>
        <w:br w:type="page"/>
      </w:r>
    </w:p>
    <w:p w14:paraId="39694237" w14:textId="77777777" w:rsidR="001C32F3" w:rsidRPr="001C32F3" w:rsidRDefault="001C32F3" w:rsidP="001C32F3">
      <w:pPr>
        <w:spacing w:after="0" w:line="360" w:lineRule="auto"/>
        <w:ind w:firstLine="706"/>
        <w:jc w:val="center"/>
        <w:outlineLvl w:val="0"/>
        <w:rPr>
          <w:rFonts w:ascii="Times New Roman" w:eastAsia="Calibri" w:hAnsi="Times New Roman" w:cs="Times New Roman"/>
          <w:b/>
          <w:color w:val="000000"/>
          <w:kern w:val="0"/>
          <w:sz w:val="28"/>
          <w:szCs w:val="28"/>
          <w14:ligatures w14:val="none"/>
        </w:rPr>
      </w:pPr>
      <w:bookmarkStart w:id="20" w:name="_Toc194707121"/>
      <w:r w:rsidRPr="001C32F3">
        <w:rPr>
          <w:rFonts w:ascii="Times New Roman" w:eastAsia="Times New Roman" w:hAnsi="Times New Roman" w:cs="Times New Roman"/>
          <w:b/>
          <w:color w:val="000000"/>
          <w:kern w:val="0"/>
          <w:sz w:val="28"/>
          <w:szCs w:val="28"/>
          <w14:ligatures w14:val="none"/>
        </w:rPr>
        <w:lastRenderedPageBreak/>
        <w:t>СПИСОК ВИКОРИСТАНИХ ДЖЕРЕЛ</w:t>
      </w:r>
      <w:bookmarkEnd w:id="20"/>
    </w:p>
    <w:p w14:paraId="161E1891" w14:textId="77777777" w:rsidR="001C32F3" w:rsidRPr="001C32F3" w:rsidRDefault="001C32F3" w:rsidP="001C32F3">
      <w:pPr>
        <w:spacing w:after="0" w:line="360" w:lineRule="auto"/>
        <w:ind w:firstLine="706"/>
        <w:jc w:val="both"/>
        <w:rPr>
          <w:rFonts w:ascii="Times New Roman" w:eastAsia="Calibri" w:hAnsi="Times New Roman" w:cs="Times New Roman"/>
          <w:color w:val="000000"/>
          <w:kern w:val="0"/>
          <w:sz w:val="28"/>
          <w:szCs w:val="28"/>
          <w14:ligatures w14:val="none"/>
        </w:rPr>
      </w:pPr>
    </w:p>
    <w:p w14:paraId="1BA12B53" w14:textId="6D8962EB"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Анопрієнко</w:t>
      </w:r>
      <w:r w:rsidRPr="001C32F3">
        <w:rPr>
          <w:rFonts w:ascii="Times New Roman" w:eastAsia="Calibri" w:hAnsi="Times New Roman" w:cs="Times New Roman"/>
          <w:color w:val="000000"/>
          <w:kern w:val="0"/>
          <w:sz w:val="28"/>
          <w:szCs w:val="28"/>
          <w14:ligatures w14:val="none"/>
        </w:rPr>
        <w:t xml:space="preserve"> Т. В., Кучеренко Є. І. Аналіз сучасного стану кадастрової оцінки земельних ділянок. 2016. № 1. С. 94–99.  </w:t>
      </w:r>
    </w:p>
    <w:p w14:paraId="1107CEEB" w14:textId="324A6F17"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Бутенко Є. В., </w:t>
      </w:r>
      <w:r w:rsidRPr="001C32F3">
        <w:rPr>
          <w:rFonts w:ascii="Times New Roman" w:eastAsia="Calibri" w:hAnsi="Times New Roman" w:cs="Times New Roman"/>
          <w:color w:val="000000"/>
          <w:kern w:val="0"/>
          <w:sz w:val="28"/>
          <w:szCs w:val="28"/>
          <w14:ligatures w14:val="none"/>
        </w:rPr>
        <w:t xml:space="preserve">Даньшова А. М., Юрченко І. В. Інвентаризація земель як передумова ефективного управління земельними ресурсами. 2020. № 4. С. 14–19.  </w:t>
      </w:r>
    </w:p>
    <w:p w14:paraId="7399D6F3" w14:textId="764994ED"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Вітровий А. О. Моніторинг земель із застосуванням сучасних технологій ДЗЗ та ГІС. Херсон. 2020. С. 54–57.  </w:t>
      </w:r>
    </w:p>
    <w:p w14:paraId="6FD8105A" w14:textId="029B236F"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Вітровий А. О. Роль геодезії в геоінформаційному забезпеченні моніторингу земель. Тернопіль. 2020. С. 130–133.  </w:t>
      </w:r>
    </w:p>
    <w:p w14:paraId="4EF83213" w14:textId="096DDE77"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Волчкова</w:t>
      </w:r>
      <w:r w:rsidRPr="001C32F3">
        <w:rPr>
          <w:rFonts w:ascii="Times New Roman" w:eastAsia="Calibri" w:hAnsi="Times New Roman" w:cs="Times New Roman"/>
          <w:color w:val="000000"/>
          <w:kern w:val="0"/>
          <w:sz w:val="28"/>
          <w:szCs w:val="28"/>
          <w14:ligatures w14:val="none"/>
        </w:rPr>
        <w:t xml:space="preserve"> М. І. Правове регулювання ринку землі сільськогосподарського призначення. 2021. № 4. С. 359–362.  </w:t>
      </w:r>
    </w:p>
    <w:p w14:paraId="22A5D39A" w14:textId="69F1C948"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Даугуль</w:t>
      </w:r>
      <w:r w:rsidRPr="001C32F3">
        <w:rPr>
          <w:rFonts w:ascii="Times New Roman" w:eastAsia="Calibri" w:hAnsi="Times New Roman" w:cs="Times New Roman"/>
          <w:color w:val="000000"/>
          <w:kern w:val="0"/>
          <w:sz w:val="28"/>
          <w:szCs w:val="28"/>
          <w14:ligatures w14:val="none"/>
        </w:rPr>
        <w:t xml:space="preserve"> В. Я., Алексенко А. А. Актуальні питання використання земель сільськогосподарського призначення. Харків. 2018. 176 с.  </w:t>
      </w:r>
    </w:p>
    <w:p w14:paraId="4EB38679" w14:textId="07CF5D4C"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Дацко</w:t>
      </w:r>
      <w:r w:rsidRPr="001C32F3">
        <w:rPr>
          <w:rFonts w:ascii="Times New Roman" w:eastAsia="Calibri" w:hAnsi="Times New Roman" w:cs="Times New Roman"/>
          <w:color w:val="000000"/>
          <w:kern w:val="0"/>
          <w:sz w:val="28"/>
          <w:szCs w:val="28"/>
          <w14:ligatures w14:val="none"/>
        </w:rPr>
        <w:t xml:space="preserve"> Д. Д. Інвентаризація земель як основа для здійснення землеустрою. Київ. 2023. 52 с.  </w:t>
      </w:r>
    </w:p>
    <w:p w14:paraId="583AAD64" w14:textId="422E88B2"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Дорош Й. М., </w:t>
      </w:r>
      <w:r w:rsidRPr="001C32F3">
        <w:rPr>
          <w:rFonts w:ascii="Times New Roman" w:eastAsia="Calibri" w:hAnsi="Times New Roman" w:cs="Times New Roman"/>
          <w:color w:val="000000"/>
          <w:kern w:val="0"/>
          <w:sz w:val="28"/>
          <w:szCs w:val="28"/>
          <w14:ligatures w14:val="none"/>
        </w:rPr>
        <w:t xml:space="preserve">Тарнопольський А. В., Аврамчук Б. О. Методичні підходи до інвентаризації земель. 2019. № 1. С. 6–15.  </w:t>
      </w:r>
    </w:p>
    <w:p w14:paraId="5E1AC292" w14:textId="490B9BBD"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Дослідження Інституту земельного кадастру та геодезії в Україні щодо інноваційних підходів до інвентаризації земель. URL: https://land.gov.ua/ (дата звернення: 28.03.2025)    </w:t>
      </w:r>
    </w:p>
    <w:p w14:paraId="43A754CC" w14:textId="383B55BD"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Звіт Державного агентства земельних ресурсів в Україні за останні 5 років. URL: https://land.gov.ua/?s=%D0%B7%D0%B2%D1%96%D1%82 (дата звернення: 28.03.2025)  </w:t>
      </w:r>
    </w:p>
    <w:p w14:paraId="056CF652" w14:textId="05C39C5C"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Звіти про проведення інвентаризаційних робіт у регіонах Києва. URL: https://ips.ligazakon.net/document/reader/BZ014090?q=%D1%86%D1%96%D0%BD%D0%BD%D1%96%20%D0%BF%D0%B0%D0%BF%D0%B5%D1%80%D0%B8&amp;bl=&amp;hide=true&amp;snippet_id=snippet_22901 (дата звернення: 28.03.2025)  </w:t>
      </w:r>
    </w:p>
    <w:p w14:paraId="403263F5" w14:textId="4537735F"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lastRenderedPageBreak/>
        <w:t xml:space="preserve">Земельна політика європейського співтовариства. Київ. 2017. 159 с.  </w:t>
      </w:r>
    </w:p>
    <w:p w14:paraId="6831825F" w14:textId="21A25A79"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Земельна реформа нових країн-членів ЄС. URL: https://agropolit.com/spetsproekty/254-zemelna-reforma-novih-krayin-chleniv-yes-dosvid-polschi (дата звернення: 28.03.2025)  </w:t>
      </w:r>
    </w:p>
    <w:p w14:paraId="4E636495" w14:textId="7CA2F055"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Земельний кодекс України. URL: http://zakon0.rada.gov.ua (дата звернення: 28.03.2025)  </w:t>
      </w:r>
    </w:p>
    <w:p w14:paraId="56167B73" w14:textId="65AE1F84"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Закони про землю та землеустрій України. URL: http://zemvisnuk.com.ua/page/zakoni (дата звернення: 28.03.2025)  </w:t>
      </w:r>
    </w:p>
    <w:p w14:paraId="378AC405" w14:textId="506497BD"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Зінченко Т. Є., </w:t>
      </w:r>
      <w:r w:rsidRPr="001C32F3">
        <w:rPr>
          <w:rFonts w:ascii="Times New Roman" w:eastAsia="Calibri" w:hAnsi="Times New Roman" w:cs="Times New Roman"/>
          <w:color w:val="000000"/>
          <w:kern w:val="0"/>
          <w:sz w:val="28"/>
          <w:szCs w:val="28"/>
          <w14:ligatures w14:val="none"/>
        </w:rPr>
        <w:t xml:space="preserve">Таратула Р. Б., Ступень Р. М. Земельно-ресурсний потенціал рекреаційних територій. Луцьк. 2016. 216 с.  </w:t>
      </w:r>
    </w:p>
    <w:p w14:paraId="618EB41A" w14:textId="16E47B41"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Іванова О. Ю. Тенденції розвитку інвентаризації земель. URL: https://osau.edu.ua/wpcontent/uploads/2022/07/ZBIRNYK_TEZ_ODAU_15_07_22.pdf (дата звернення: 28.03.2025)  </w:t>
      </w:r>
    </w:p>
    <w:p w14:paraId="3AA043CE" w14:textId="7116E323"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Калина Т. Є., </w:t>
      </w:r>
      <w:r w:rsidRPr="001C32F3">
        <w:rPr>
          <w:rFonts w:ascii="Times New Roman" w:eastAsia="Calibri" w:hAnsi="Times New Roman" w:cs="Times New Roman"/>
          <w:color w:val="000000"/>
          <w:kern w:val="0"/>
          <w:sz w:val="28"/>
          <w:szCs w:val="28"/>
          <w14:ligatures w14:val="none"/>
        </w:rPr>
        <w:t xml:space="preserve">Константінова О. В., Арзуманян Т. Ю. Туристично-рекреаційна діяльність на природоохоронних територіях. Харків. 2017. № 3. С. 39–45.  </w:t>
      </w:r>
    </w:p>
    <w:p w14:paraId="31560111" w14:textId="604F88B4"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Калина Т. Є., </w:t>
      </w:r>
      <w:r w:rsidRPr="001C32F3">
        <w:rPr>
          <w:rFonts w:ascii="Times New Roman" w:eastAsia="Calibri" w:hAnsi="Times New Roman" w:cs="Times New Roman"/>
          <w:color w:val="000000"/>
          <w:kern w:val="0"/>
          <w:sz w:val="28"/>
          <w:szCs w:val="28"/>
          <w14:ligatures w14:val="none"/>
        </w:rPr>
        <w:t xml:space="preserve">Шушулков С. Д., Арзуманян Т. Ю. Земельноресурсний потенціал регіону. 2019. № 4. С. 78–82.  </w:t>
      </w:r>
    </w:p>
    <w:p w14:paraId="4B73AABD" w14:textId="27DD5704"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Колодяжна</w:t>
      </w:r>
      <w:r w:rsidRPr="001C32F3">
        <w:rPr>
          <w:rFonts w:ascii="Times New Roman" w:eastAsia="Calibri" w:hAnsi="Times New Roman" w:cs="Times New Roman"/>
          <w:color w:val="000000"/>
          <w:kern w:val="0"/>
          <w:sz w:val="28"/>
          <w:szCs w:val="28"/>
          <w14:ligatures w14:val="none"/>
        </w:rPr>
        <w:t xml:space="preserve"> Т. В. Особливості інвентаризації земель та формування пам'яток культурної спадщини України. Кривий Ріг. 2024. 128 с.  </w:t>
      </w:r>
    </w:p>
    <w:p w14:paraId="2F69EC07" w14:textId="4BFD7996"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Лихогруд</w:t>
      </w:r>
      <w:r w:rsidRPr="001C32F3">
        <w:rPr>
          <w:rFonts w:ascii="Times New Roman" w:eastAsia="Calibri" w:hAnsi="Times New Roman" w:cs="Times New Roman"/>
          <w:color w:val="000000"/>
          <w:kern w:val="0"/>
          <w:sz w:val="28"/>
          <w:szCs w:val="28"/>
          <w14:ligatures w14:val="none"/>
        </w:rPr>
        <w:t xml:space="preserve"> М. Законодавча та нормативно методична база грошової оцінки земель в Україні. URL: http://www.geomatica.kiev.ua/training/PlanValTax/chapter103.html (дата звернення: 28.03.2025)  </w:t>
      </w:r>
    </w:p>
    <w:p w14:paraId="0D909A71" w14:textId="0ED10ACC"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Лісовий кодекс України. URL: http://zakon0.rada.gov.ua/laws/show/3852-12 (дата звернення: 28.03.2025)  </w:t>
      </w:r>
    </w:p>
    <w:p w14:paraId="7F81A8FA" w14:textId="35D1C1E4"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Мартин А. Г. Інвентаризація земель. URL: http://www.zsu.org.ua/index.php?option=com_content&amp;view=article&amp;id=2254 (дата звернення: 28.03.2025)  </w:t>
      </w:r>
    </w:p>
    <w:p w14:paraId="2C3C8D69" w14:textId="25BCDF94"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lastRenderedPageBreak/>
        <w:t xml:space="preserve">Методичні рекомендації щодо використання геоінформаційної системи </w:t>
      </w:r>
      <w:r w:rsidRPr="001C32F3">
        <w:rPr>
          <w:rFonts w:ascii="Times New Roman" w:eastAsia="Calibri" w:hAnsi="Times New Roman" w:cs="Times New Roman"/>
          <w:color w:val="000000"/>
          <w:kern w:val="0"/>
          <w:sz w:val="28"/>
          <w:szCs w:val="28"/>
          <w14:ligatures w14:val="none"/>
        </w:rPr>
        <w:t xml:space="preserve">ArcGIS при інвентаризації земель. URL: http://repository.hneu.edu.ua/bitstream/123456789/11971/1/%D0%93%D0%B5%D0%BE%D1%96%D0%BD%D1%84%D0%BE%D1%80%D0%BC%D0%B0%D1%86%D1%96%D0%B9%D0%BD%D1%96%20%D1%81%D0%B8%D1%81%D1%82%D0%B5%D0%BC%D0%B8%20%20%D0%BD%D0%B0%D0%B2%D1%87%D0%B0%D0%BB%D1%8C%D0%BD%D0%B8%D0%B9%20%D0%BF%D0%BE%D1%81%D1%96%D0%B1%D0%BD%D0%B8%D0%BA.pdf (дата звернення: 28.03.2025)  </w:t>
      </w:r>
    </w:p>
    <w:p w14:paraId="2A09C219" w14:textId="113CD166"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Національна інфраструктура </w:t>
      </w:r>
      <w:r w:rsidRPr="001C32F3">
        <w:rPr>
          <w:rFonts w:ascii="Times New Roman" w:eastAsia="Calibri" w:hAnsi="Times New Roman" w:cs="Times New Roman"/>
          <w:color w:val="000000"/>
          <w:kern w:val="0"/>
          <w:sz w:val="28"/>
          <w:szCs w:val="28"/>
          <w14:ligatures w14:val="none"/>
        </w:rPr>
        <w:t xml:space="preserve">геопросторових даних. Офіційний сайт. URL: https://nsdi.land.gov.ua (дата звернення: 28.03.2025)  </w:t>
      </w:r>
    </w:p>
    <w:p w14:paraId="53680176" w14:textId="2CCB4C1C"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Новаковський</w:t>
      </w:r>
      <w:r w:rsidRPr="001C32F3">
        <w:rPr>
          <w:rFonts w:ascii="Times New Roman" w:eastAsia="Calibri" w:hAnsi="Times New Roman" w:cs="Times New Roman"/>
          <w:color w:val="000000"/>
          <w:kern w:val="0"/>
          <w:sz w:val="28"/>
          <w:szCs w:val="28"/>
          <w14:ligatures w14:val="none"/>
        </w:rPr>
        <w:t xml:space="preserve"> Л. Я., Новаковська І. О., Бредіхін О. О., Стецюк М. П., Скрипник Л. Р. Муніципалізація землекористування в умовах децентралізації влади в Україні. 2019. № 2. С. 23–31.  </w:t>
      </w:r>
    </w:p>
    <w:p w14:paraId="580CF78A" w14:textId="379718A6"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Остапчук Т. П., </w:t>
      </w:r>
      <w:r w:rsidRPr="001C32F3">
        <w:rPr>
          <w:rFonts w:ascii="Times New Roman" w:eastAsia="Calibri" w:hAnsi="Times New Roman" w:cs="Times New Roman"/>
          <w:color w:val="000000"/>
          <w:kern w:val="0"/>
          <w:sz w:val="28"/>
          <w:szCs w:val="28"/>
          <w14:ligatures w14:val="none"/>
        </w:rPr>
        <w:t xml:space="preserve">Гавриловська Д. В. Інвентаризація земельних ділянок. 2018. № 3. С. 42–46.  </w:t>
      </w:r>
    </w:p>
    <w:p w14:paraId="048143A6" w14:textId="0AAC8C21"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Островерха В. О. Інвентаризація земель рекреаційного призначення. Миколаїв. 2020. 16 с.  </w:t>
      </w:r>
    </w:p>
    <w:p w14:paraId="6E0CFAF6" w14:textId="77D84144"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Петров Д. Роль інформаційних технологій у забезпеченні точності і повноти даних при інвентаризації земель. URL: https://www.shevchenkove.org.ua/person_syte/Sheremet%20I/Dosvid/%D0%97%D0%B5%D0%BC%D0%B5%D0%BB%D1%8C%D0%BD%D0%B8%D0%B9%20%D0%BA%D0%B0%D0%B4%D0%B0%D1%81%D1%82%D1%80/%D0%9B17.pdf (дата звернення: 28.03.2025)  </w:t>
      </w:r>
    </w:p>
    <w:p w14:paraId="0304B066" w14:textId="4C4A480D"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Постанови та розпорядження уряду України з питань інвентаризації земель та землеустрою. URL: https://land.gov.ua/postanova-kabinetuministriv-ukrayiny-vid-30-travnya-2023-roku-%E2%84%96-541-pro-vnesennyazmin-do-poryadku-vykorystannya-koshtiv-peredbachenyh-u-derzhavnomubyudzheti-dlya-provedennya-inv/ (дата звернення: 28.03.2025)  </w:t>
      </w:r>
    </w:p>
    <w:p w14:paraId="65EFE470" w14:textId="3C0CAC86"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lastRenderedPageBreak/>
        <w:t xml:space="preserve">Про державний контроль за використанням та охороною земель. Закон України № 3993-IX від 08.10.2024. URL: http://zakon.rada.gov.ua (дата звернення: 28.03.2025)  </w:t>
      </w:r>
    </w:p>
    <w:p w14:paraId="3F1B7D0C" w14:textId="0206F5A9"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Про охорону навколишнього середовища. Закон України № 4017-IX від 10.10.2024. URL: http://zakon.rada.gov.ua (дата звернення: 28.03.2025)  </w:t>
      </w:r>
    </w:p>
    <w:p w14:paraId="1C991678" w14:textId="1F3F9C7C"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Про Землеустрій. Закон України № 858-IV від 22 травня 2003 року. URL: http://zakon0.rada.gov.ua/laws/show/5673-22 (дата звернення: 28.03.2025)</w:t>
      </w:r>
    </w:p>
    <w:p w14:paraId="37FFBCA8" w14:textId="5F34D559"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Про державний земельний кадастр. Закон України № 3613-17 від 04.06.2017. URL: http://zakon0.rada.gov.ua/laws/show/3613-17 (дата звернення: 28.03.2025)  </w:t>
      </w:r>
    </w:p>
    <w:p w14:paraId="68F5424F" w14:textId="350E223B"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Про затвердження Концепції розвитку охорони ґрунтів в Україні. URL: http://zakon2.rada.gov.ua/laws/show/725-2013-%D1%80 (дата звернення: 28.03.2025)  </w:t>
      </w:r>
    </w:p>
    <w:p w14:paraId="23FDC344" w14:textId="16F63C39"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Проекти землевпорядкування та землеустрою в Україні. URL: http://kizmantehn.com.ua/wpcontent/uploads/2018/04/%D0%97%D0%B5%D0%BC%D0%BB%D0%B5%D0%B2%D0%BF%D0%BE%D1%80%D1%8F%D0%B4%D0%BD%D0%B5%D0%BF%D1%80%D0%BE%D0%B5%D0%BA%D1%82%D1%83%D0%B2%D0%B0%D0%BD%D0%BD%D1%8F.pdf (дата звернення: 28.03.2025)  </w:t>
      </w:r>
    </w:p>
    <w:p w14:paraId="5938D720" w14:textId="5324F525"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Процедура проведення інвентаризації земель. URL: http://zakon0.rada.gov.ua/laws/show/513-2012-%D0%BF (дата звернення: 28.03.2025)  </w:t>
      </w:r>
    </w:p>
    <w:p w14:paraId="74A1D524" w14:textId="454C96C8"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Прядка К. О., </w:t>
      </w:r>
      <w:r w:rsidRPr="001C32F3">
        <w:rPr>
          <w:rFonts w:ascii="Times New Roman" w:eastAsia="Calibri" w:hAnsi="Times New Roman" w:cs="Times New Roman"/>
          <w:color w:val="000000"/>
          <w:kern w:val="0"/>
          <w:sz w:val="28"/>
          <w:szCs w:val="28"/>
          <w14:ligatures w14:val="none"/>
        </w:rPr>
        <w:t xml:space="preserve">Пересадько В. А. Облік земель лісогосподарського призначення. 2018. № 5. С. 122–128.  </w:t>
      </w:r>
    </w:p>
    <w:p w14:paraId="7F7AC334" w14:textId="18D23002"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Рекомендації та пропозиції засідання Координаційної ради з питань боротьби з деградацією земель. URL: https://menr.gov.ua/files/images/news/15062018/%D0%9F%D1%80%D0%BE%D1%82% (дата звернення: 28.03.2025)  </w:t>
      </w:r>
    </w:p>
    <w:p w14:paraId="239FAF48" w14:textId="5832E671"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Рекун</w:t>
      </w:r>
      <w:r w:rsidRPr="001C32F3">
        <w:rPr>
          <w:rFonts w:ascii="Times New Roman" w:eastAsia="Calibri" w:hAnsi="Times New Roman" w:cs="Times New Roman"/>
          <w:color w:val="000000"/>
          <w:kern w:val="0"/>
          <w:sz w:val="28"/>
          <w:szCs w:val="28"/>
          <w14:ligatures w14:val="none"/>
        </w:rPr>
        <w:t xml:space="preserve"> А. Дві сторони земельної децентралізації. URL: http://agroportal.ua (дата звернення: 28.03.2025)  </w:t>
      </w:r>
    </w:p>
    <w:p w14:paraId="40142DB4" w14:textId="627391A3"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lastRenderedPageBreak/>
        <w:t xml:space="preserve">Сидоренко О. Ю. Оцінка ефективності методів інвентаризації земель у практиці землеустрою. URL: https://core.ac.uk/download/pdf/162041157.pdf (дата звернення: 28.03.2025)  </w:t>
      </w:r>
    </w:p>
    <w:p w14:paraId="612A3658" w14:textId="14E000A6"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Смирнова С. М. Законодавче забезпечення природоохоронної діяльності. Одеса. 2019. С. 164–167.  </w:t>
      </w:r>
    </w:p>
    <w:p w14:paraId="2B73B3A6" w14:textId="5AF72260"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Смирнова С. М. Наукові засади управління розвитком природно-заповідних територій. Дніпро. 2020. С. 77–83.  </w:t>
      </w:r>
    </w:p>
    <w:p w14:paraId="10BFAD71" w14:textId="4BFAF504"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Смирнова С. М.  Сучасний стан розвитку природно-заповідного фонду. Херсон. 2019. С. 168–170.  </w:t>
      </w:r>
    </w:p>
    <w:p w14:paraId="246D7C21" w14:textId="4FE3CDB3"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Теорія і практика управління розвитком міських агломерацій. Харків. 2017. 209 с.  </w:t>
      </w:r>
    </w:p>
    <w:p w14:paraId="173FBAAF" w14:textId="2CA14A3D"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Технічна документація із землеустрою. Тетіїв. 2023. 52 с.  </w:t>
      </w:r>
    </w:p>
    <w:p w14:paraId="02E98400" w14:textId="21736788"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Технічний опис геодезичних приладів </w:t>
      </w:r>
      <w:r w:rsidRPr="001C32F3">
        <w:rPr>
          <w:rFonts w:ascii="Times New Roman" w:eastAsia="Calibri" w:hAnsi="Times New Roman" w:cs="Times New Roman"/>
          <w:color w:val="000000"/>
          <w:kern w:val="0"/>
          <w:sz w:val="28"/>
          <w:szCs w:val="28"/>
          <w14:ligatures w14:val="none"/>
        </w:rPr>
        <w:t xml:space="preserve">Trimble R10 і Leica GS18. URL: https://geospatial.trimble.com/sites/geospatial.trimble.com/files/2019-04/022516-332A-RUS_TrimbleR10-2_DS_A4_0419_LR.pdf (дата звернення: 28.03.2025)  </w:t>
      </w:r>
    </w:p>
    <w:p w14:paraId="53799EDC" w14:textId="44FBB338"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Тихенко О. В. Облік якості земель у державному кадастрі. 2016. № 3. С. 34–39</w:t>
      </w:r>
    </w:p>
    <w:p w14:paraId="7BD033DD" w14:textId="7F73604C"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Третяк А., Третяк В., Прядка Т. Зонування земель за типами землекористування. 2021. № 2. С. 16–20.  </w:t>
      </w:r>
    </w:p>
    <w:p w14:paraId="7D62A33C" w14:textId="5F0A11F2"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Agroforestry</w:t>
      </w:r>
      <w:r w:rsidRPr="001C32F3">
        <w:rPr>
          <w:rFonts w:ascii="Times New Roman" w:eastAsia="Calibri" w:hAnsi="Times New Roman" w:cs="Times New Roman"/>
          <w:color w:val="000000"/>
          <w:kern w:val="0"/>
          <w:sz w:val="28"/>
          <w:szCs w:val="28"/>
          <w14:ligatures w14:val="none"/>
        </w:rPr>
        <w:t xml:space="preserve"> Strategic Framework. 2019. URL: https://www.usda.gov/sites/default/files/documents/usda-agroforestrystrategicframework.pdf (дата звернення: 28.03.2025)</w:t>
      </w:r>
    </w:p>
    <w:p w14:paraId="4C1D4209" w14:textId="2006435E"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Chokkalingam</w:t>
      </w:r>
      <w:r w:rsidRPr="001C32F3">
        <w:rPr>
          <w:rFonts w:ascii="Times New Roman" w:eastAsia="Calibri" w:hAnsi="Times New Roman" w:cs="Times New Roman"/>
          <w:color w:val="000000"/>
          <w:kern w:val="0"/>
          <w:sz w:val="28"/>
          <w:szCs w:val="28"/>
          <w14:ligatures w14:val="none"/>
        </w:rPr>
        <w:t xml:space="preserve"> U., Shono K., Sarigumba M., Durst P., Leslie R. Natural regeneration in forest restoration. 2018. 126 p.</w:t>
      </w:r>
    </w:p>
    <w:p w14:paraId="197B3C3F" w14:textId="08F13F14"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 xml:space="preserve">FAO. </w:t>
      </w:r>
      <w:r w:rsidRPr="001C32F3">
        <w:rPr>
          <w:rFonts w:ascii="Times New Roman" w:eastAsia="Calibri" w:hAnsi="Times New Roman" w:cs="Times New Roman"/>
          <w:color w:val="000000"/>
          <w:kern w:val="0"/>
          <w:sz w:val="28"/>
          <w:szCs w:val="28"/>
          <w14:ligatures w14:val="none"/>
        </w:rPr>
        <w:t>Agroforestry. 2019. URL: http://www.fao.org/forestry/agroforestry/80338/en/ (дата звернення: 28.03.2025)</w:t>
      </w:r>
    </w:p>
    <w:p w14:paraId="27C302B9" w14:textId="5DB69D1D"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Forest</w:t>
      </w:r>
      <w:r w:rsidRPr="001C32F3">
        <w:rPr>
          <w:rFonts w:ascii="Times New Roman" w:eastAsia="Calibri" w:hAnsi="Times New Roman" w:cs="Times New Roman"/>
          <w:color w:val="000000"/>
          <w:kern w:val="0"/>
          <w:sz w:val="28"/>
          <w:szCs w:val="28"/>
          <w14:ligatures w14:val="none"/>
        </w:rPr>
        <w:t xml:space="preserve"> Monitoring Designed for Action. URL: https://www.globalforestwatch.org/ (дата звернення: 28.03.2025)</w:t>
      </w:r>
    </w:p>
    <w:p w14:paraId="7F4C31C5" w14:textId="3D6DA4BF"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Havrysh</w:t>
      </w:r>
      <w:r w:rsidRPr="001C32F3">
        <w:rPr>
          <w:rFonts w:ascii="Times New Roman" w:eastAsia="Calibri" w:hAnsi="Times New Roman" w:cs="Times New Roman"/>
          <w:color w:val="000000"/>
          <w:kern w:val="0"/>
          <w:sz w:val="28"/>
          <w:szCs w:val="28"/>
          <w14:ligatures w14:val="none"/>
        </w:rPr>
        <w:t xml:space="preserve"> N. S. Legal regime of soils in Ukraine. Odesa.</w:t>
      </w:r>
      <w:r w:rsidR="00CD0F07">
        <w:rPr>
          <w:rFonts w:ascii="Times New Roman" w:eastAsia="Calibri" w:hAnsi="Times New Roman" w:cs="Times New Roman"/>
          <w:color w:val="000000"/>
          <w:kern w:val="0"/>
          <w:sz w:val="28"/>
          <w:szCs w:val="28"/>
          <w14:ligatures w14:val="none"/>
        </w:rPr>
        <w:t xml:space="preserve"> </w:t>
      </w:r>
      <w:r w:rsidRPr="001C32F3">
        <w:rPr>
          <w:rFonts w:ascii="Times New Roman" w:eastAsia="Calibri" w:hAnsi="Times New Roman" w:cs="Times New Roman"/>
          <w:color w:val="000000"/>
          <w:kern w:val="0"/>
          <w:sz w:val="28"/>
          <w:szCs w:val="28"/>
          <w14:ligatures w14:val="none"/>
        </w:rPr>
        <w:t>2018.</w:t>
      </w:r>
      <w:r w:rsidR="00CD0F07" w:rsidRPr="00CD0F07">
        <w:rPr>
          <w:rFonts w:ascii="Times New Roman" w:eastAsia="Calibri" w:hAnsi="Times New Roman" w:cs="Times New Roman"/>
          <w:color w:val="000000"/>
          <w:kern w:val="0"/>
          <w:sz w:val="28"/>
          <w:szCs w:val="28"/>
          <w14:ligatures w14:val="none"/>
        </w:rPr>
        <w:t xml:space="preserve"> </w:t>
      </w:r>
      <w:r w:rsidR="00CD0F07">
        <w:rPr>
          <w:rFonts w:ascii="Times New Roman" w:eastAsia="Calibri" w:hAnsi="Times New Roman" w:cs="Times New Roman"/>
          <w:color w:val="000000"/>
          <w:kern w:val="0"/>
          <w:sz w:val="28"/>
          <w:szCs w:val="28"/>
          <w14:ligatures w14:val="none"/>
        </w:rPr>
        <w:t>С. 7.</w:t>
      </w:r>
      <w:r w:rsidR="00CD0F07">
        <w:rPr>
          <w:rFonts w:ascii="Times New Roman" w:eastAsia="Calibri" w:hAnsi="Times New Roman" w:cs="Times New Roman"/>
          <w:color w:val="000000"/>
          <w:kern w:val="0"/>
          <w:sz w:val="28"/>
          <w:szCs w:val="28"/>
          <w:lang w:val="en-US"/>
          <w14:ligatures w14:val="none"/>
        </w:rPr>
        <w:t xml:space="preserve"> </w:t>
      </w:r>
    </w:p>
    <w:p w14:paraId="291E461C" w14:textId="18CF0E01"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lastRenderedPageBreak/>
        <w:t>Latawiec</w:t>
      </w:r>
      <w:r w:rsidRPr="001C32F3">
        <w:rPr>
          <w:rFonts w:ascii="Times New Roman" w:eastAsia="Calibri" w:hAnsi="Times New Roman" w:cs="Times New Roman"/>
          <w:color w:val="000000"/>
          <w:kern w:val="0"/>
          <w:sz w:val="28"/>
          <w:szCs w:val="28"/>
          <w14:ligatures w14:val="none"/>
        </w:rPr>
        <w:t xml:space="preserve"> A., Crouzeilles R., Brancalion P., Rodrigues R. Natural regeneration and biodiversity. Biotropica. 2016. Vol. 48. P. 844–855.</w:t>
      </w:r>
    </w:p>
    <w:p w14:paraId="0974573F" w14:textId="5C4C99B1"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Piddubna</w:t>
      </w:r>
      <w:r w:rsidRPr="001C32F3">
        <w:rPr>
          <w:rFonts w:ascii="Times New Roman" w:eastAsia="Calibri" w:hAnsi="Times New Roman" w:cs="Times New Roman"/>
          <w:color w:val="000000"/>
          <w:kern w:val="0"/>
          <w:sz w:val="28"/>
          <w:szCs w:val="28"/>
          <w14:ligatures w14:val="none"/>
        </w:rPr>
        <w:t xml:space="preserve"> D. Polezakhysni lisovi smuhy ta inshi nasadzhennia. Ekolohichne pravo. 2016. № 1. S. 85–91.</w:t>
      </w:r>
    </w:p>
    <w:p w14:paraId="4F43D2C5" w14:textId="21A925E7"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Ramteke</w:t>
      </w:r>
      <w:r w:rsidRPr="001C32F3">
        <w:rPr>
          <w:rFonts w:ascii="Times New Roman" w:eastAsia="Calibri" w:hAnsi="Times New Roman" w:cs="Times New Roman"/>
          <w:color w:val="000000"/>
          <w:kern w:val="0"/>
          <w:sz w:val="28"/>
          <w:szCs w:val="28"/>
          <w14:ligatures w14:val="none"/>
        </w:rPr>
        <w:t xml:space="preserve"> K., Sen T., Singh S., Chaterjee S., Obi Reddy G. Geospatial Technologies in Land Resource Inventory. IJRSG. 2018. Vol. 7. P. 8–19.</w:t>
      </w:r>
    </w:p>
    <w:p w14:paraId="77F9A2F5" w14:textId="6C8F90B5"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Renard</w:t>
      </w:r>
      <w:r w:rsidRPr="001C32F3">
        <w:rPr>
          <w:rFonts w:ascii="Times New Roman" w:eastAsia="Calibri" w:hAnsi="Times New Roman" w:cs="Times New Roman"/>
          <w:color w:val="000000"/>
          <w:kern w:val="0"/>
          <w:sz w:val="28"/>
          <w:szCs w:val="28"/>
          <w14:ligatures w14:val="none"/>
        </w:rPr>
        <w:t xml:space="preserve"> D., Tilman D. National food production stabilized by crop diversity. Nature. 2019. Vol. 571. P. 257–260.</w:t>
      </w:r>
    </w:p>
    <w:p w14:paraId="3EED9793" w14:textId="22FC46FE" w:rsidR="001C32F3" w:rsidRPr="001C32F3" w:rsidRDefault="001C32F3" w:rsidP="001C32F3">
      <w:pPr>
        <w:pStyle w:val="a7"/>
        <w:numPr>
          <w:ilvl w:val="0"/>
          <w:numId w:val="4"/>
        </w:numPr>
        <w:spacing w:after="0" w:line="360" w:lineRule="auto"/>
        <w:ind w:left="0" w:firstLine="706"/>
        <w:jc w:val="both"/>
        <w:rPr>
          <w:rFonts w:ascii="Times New Roman" w:eastAsia="Calibri" w:hAnsi="Times New Roman" w:cs="Times New Roman"/>
          <w:color w:val="000000"/>
          <w:kern w:val="0"/>
          <w:sz w:val="28"/>
          <w:szCs w:val="28"/>
          <w14:ligatures w14:val="none"/>
        </w:rPr>
      </w:pPr>
      <w:r w:rsidRPr="001C32F3">
        <w:rPr>
          <w:rFonts w:ascii="Times New Roman" w:eastAsia="Times New Roman" w:hAnsi="Times New Roman" w:cs="Times New Roman"/>
          <w:color w:val="000000"/>
          <w:kern w:val="0"/>
          <w:sz w:val="28"/>
          <w:szCs w:val="28"/>
          <w14:ligatures w14:val="none"/>
        </w:rPr>
        <w:t>Wang</w:t>
      </w:r>
      <w:r w:rsidRPr="001C32F3">
        <w:rPr>
          <w:rFonts w:ascii="Times New Roman" w:eastAsia="Calibri" w:hAnsi="Times New Roman" w:cs="Times New Roman"/>
          <w:color w:val="000000"/>
          <w:kern w:val="0"/>
          <w:sz w:val="28"/>
          <w:szCs w:val="28"/>
          <w14:ligatures w14:val="none"/>
        </w:rPr>
        <w:t xml:space="preserve"> H., Ortiz-Bobea A. Market-driven corn monocropping in the U.S. Midwest. Agric. Resour. Econ. Rev. 2019. Vol. 48. P. 274–296.</w:t>
      </w:r>
    </w:p>
    <w:p w14:paraId="6FC3E62C" w14:textId="77777777" w:rsidR="006E241A" w:rsidRDefault="006E241A">
      <w:pPr>
        <w:spacing w:line="360" w:lineRule="auto"/>
        <w:ind w:firstLine="706"/>
      </w:pPr>
    </w:p>
    <w:sectPr w:rsidR="006E241A" w:rsidSect="007C5432">
      <w:pgSz w:w="11906" w:h="16838"/>
      <w:pgMar w:top="850" w:right="850" w:bottom="850" w:left="1417"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CF218B" w14:textId="77777777" w:rsidR="00EC0FBA" w:rsidRDefault="00EC0FBA" w:rsidP="00CA1224">
      <w:pPr>
        <w:spacing w:after="0" w:line="240" w:lineRule="auto"/>
      </w:pPr>
      <w:r>
        <w:separator/>
      </w:r>
    </w:p>
  </w:endnote>
  <w:endnote w:type="continuationSeparator" w:id="0">
    <w:p w14:paraId="29FEBC53" w14:textId="77777777" w:rsidR="00EC0FBA" w:rsidRDefault="00EC0FBA" w:rsidP="00CA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F8B108" w14:textId="77777777" w:rsidR="00EC0FBA" w:rsidRDefault="00EC0FBA" w:rsidP="00CA1224">
      <w:pPr>
        <w:spacing w:after="0" w:line="240" w:lineRule="auto"/>
      </w:pPr>
      <w:r>
        <w:separator/>
      </w:r>
    </w:p>
  </w:footnote>
  <w:footnote w:type="continuationSeparator" w:id="0">
    <w:p w14:paraId="0DBDB97A" w14:textId="77777777" w:rsidR="00EC0FBA" w:rsidRDefault="00EC0FBA" w:rsidP="00CA12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1333044"/>
      <w:docPartObj>
        <w:docPartGallery w:val="Page Numbers (Top of Page)"/>
        <w:docPartUnique/>
      </w:docPartObj>
    </w:sdtPr>
    <w:sdtEndPr/>
    <w:sdtContent>
      <w:p w14:paraId="0C6A603D" w14:textId="57C43B4C" w:rsidR="00CD4D98" w:rsidRDefault="00CD4D98">
        <w:pPr>
          <w:pStyle w:val="af"/>
          <w:jc w:val="right"/>
        </w:pPr>
        <w:r>
          <w:fldChar w:fldCharType="begin"/>
        </w:r>
        <w:r>
          <w:instrText>PAGE   \* MERGEFORMAT</w:instrText>
        </w:r>
        <w:r>
          <w:fldChar w:fldCharType="separate"/>
        </w:r>
        <w:r w:rsidR="00B87FB6">
          <w:rPr>
            <w:noProof/>
          </w:rPr>
          <w:t>2</w:t>
        </w:r>
        <w:r>
          <w:fldChar w:fldCharType="end"/>
        </w:r>
      </w:p>
    </w:sdtContent>
  </w:sdt>
  <w:p w14:paraId="468B587C" w14:textId="77777777" w:rsidR="00CD4D98" w:rsidRDefault="00CD4D98">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103E4"/>
    <w:multiLevelType w:val="hybridMultilevel"/>
    <w:tmpl w:val="580C2E5A"/>
    <w:lvl w:ilvl="0" w:tplc="981879C2">
      <w:start w:val="1"/>
      <w:numFmt w:val="decimal"/>
      <w:lvlText w:val="%1."/>
      <w:lvlJc w:val="left"/>
      <w:pPr>
        <w:ind w:left="318" w:hanging="514"/>
        <w:jc w:val="right"/>
      </w:pPr>
      <w:rPr>
        <w:rFonts w:ascii="Times New Roman" w:eastAsia="Times New Roman" w:hAnsi="Times New Roman" w:cs="Times New Roman" w:hint="default"/>
        <w:w w:val="97"/>
        <w:sz w:val="28"/>
        <w:szCs w:val="28"/>
        <w:lang w:val="uk-UA" w:eastAsia="en-US" w:bidi="ar-SA"/>
      </w:rPr>
    </w:lvl>
    <w:lvl w:ilvl="1" w:tplc="DF3A4F44">
      <w:numFmt w:val="bullet"/>
      <w:lvlText w:val="•"/>
      <w:lvlJc w:val="left"/>
      <w:pPr>
        <w:ind w:left="1337" w:hanging="514"/>
      </w:pPr>
      <w:rPr>
        <w:rFonts w:hint="default"/>
        <w:lang w:val="uk-UA" w:eastAsia="en-US" w:bidi="ar-SA"/>
      </w:rPr>
    </w:lvl>
    <w:lvl w:ilvl="2" w:tplc="755CBDDA">
      <w:numFmt w:val="bullet"/>
      <w:lvlText w:val="•"/>
      <w:lvlJc w:val="left"/>
      <w:pPr>
        <w:ind w:left="2354" w:hanging="514"/>
      </w:pPr>
      <w:rPr>
        <w:rFonts w:hint="default"/>
        <w:lang w:val="uk-UA" w:eastAsia="en-US" w:bidi="ar-SA"/>
      </w:rPr>
    </w:lvl>
    <w:lvl w:ilvl="3" w:tplc="C736FCC6">
      <w:numFmt w:val="bullet"/>
      <w:lvlText w:val="•"/>
      <w:lvlJc w:val="left"/>
      <w:pPr>
        <w:ind w:left="3371" w:hanging="514"/>
      </w:pPr>
      <w:rPr>
        <w:rFonts w:hint="default"/>
        <w:lang w:val="uk-UA" w:eastAsia="en-US" w:bidi="ar-SA"/>
      </w:rPr>
    </w:lvl>
    <w:lvl w:ilvl="4" w:tplc="BCC8BF5C">
      <w:numFmt w:val="bullet"/>
      <w:lvlText w:val="•"/>
      <w:lvlJc w:val="left"/>
      <w:pPr>
        <w:ind w:left="4388" w:hanging="514"/>
      </w:pPr>
      <w:rPr>
        <w:rFonts w:hint="default"/>
        <w:lang w:val="uk-UA" w:eastAsia="en-US" w:bidi="ar-SA"/>
      </w:rPr>
    </w:lvl>
    <w:lvl w:ilvl="5" w:tplc="B2144792">
      <w:numFmt w:val="bullet"/>
      <w:lvlText w:val="•"/>
      <w:lvlJc w:val="left"/>
      <w:pPr>
        <w:ind w:left="5405" w:hanging="514"/>
      </w:pPr>
      <w:rPr>
        <w:rFonts w:hint="default"/>
        <w:lang w:val="uk-UA" w:eastAsia="en-US" w:bidi="ar-SA"/>
      </w:rPr>
    </w:lvl>
    <w:lvl w:ilvl="6" w:tplc="0EE6EC58">
      <w:numFmt w:val="bullet"/>
      <w:lvlText w:val="•"/>
      <w:lvlJc w:val="left"/>
      <w:pPr>
        <w:ind w:left="6422" w:hanging="514"/>
      </w:pPr>
      <w:rPr>
        <w:rFonts w:hint="default"/>
        <w:lang w:val="uk-UA" w:eastAsia="en-US" w:bidi="ar-SA"/>
      </w:rPr>
    </w:lvl>
    <w:lvl w:ilvl="7" w:tplc="8946DCD6">
      <w:numFmt w:val="bullet"/>
      <w:lvlText w:val="•"/>
      <w:lvlJc w:val="left"/>
      <w:pPr>
        <w:ind w:left="7439" w:hanging="514"/>
      </w:pPr>
      <w:rPr>
        <w:rFonts w:hint="default"/>
        <w:lang w:val="uk-UA" w:eastAsia="en-US" w:bidi="ar-SA"/>
      </w:rPr>
    </w:lvl>
    <w:lvl w:ilvl="8" w:tplc="AD58A4C6">
      <w:numFmt w:val="bullet"/>
      <w:lvlText w:val="•"/>
      <w:lvlJc w:val="left"/>
      <w:pPr>
        <w:ind w:left="8456" w:hanging="514"/>
      </w:pPr>
      <w:rPr>
        <w:rFonts w:hint="default"/>
        <w:lang w:val="uk-UA" w:eastAsia="en-US" w:bidi="ar-SA"/>
      </w:rPr>
    </w:lvl>
  </w:abstractNum>
  <w:abstractNum w:abstractNumId="1">
    <w:nsid w:val="0D884BBA"/>
    <w:multiLevelType w:val="hybridMultilevel"/>
    <w:tmpl w:val="AAAC22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F8D3E1A"/>
    <w:multiLevelType w:val="hybridMultilevel"/>
    <w:tmpl w:val="7B56EEE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35A96447"/>
    <w:multiLevelType w:val="hybridMultilevel"/>
    <w:tmpl w:val="76AE8A96"/>
    <w:lvl w:ilvl="0" w:tplc="423A1430">
      <w:numFmt w:val="bullet"/>
      <w:lvlText w:val="–"/>
      <w:lvlJc w:val="left"/>
      <w:pPr>
        <w:ind w:left="1038"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1758" w:hanging="360"/>
      </w:pPr>
      <w:rPr>
        <w:rFonts w:ascii="Courier New" w:hAnsi="Courier New" w:cs="Courier New" w:hint="default"/>
      </w:rPr>
    </w:lvl>
    <w:lvl w:ilvl="2" w:tplc="04220005" w:tentative="1">
      <w:start w:val="1"/>
      <w:numFmt w:val="bullet"/>
      <w:lvlText w:val=""/>
      <w:lvlJc w:val="left"/>
      <w:pPr>
        <w:ind w:left="2478" w:hanging="360"/>
      </w:pPr>
      <w:rPr>
        <w:rFonts w:ascii="Wingdings" w:hAnsi="Wingdings" w:hint="default"/>
      </w:rPr>
    </w:lvl>
    <w:lvl w:ilvl="3" w:tplc="04220001" w:tentative="1">
      <w:start w:val="1"/>
      <w:numFmt w:val="bullet"/>
      <w:lvlText w:val=""/>
      <w:lvlJc w:val="left"/>
      <w:pPr>
        <w:ind w:left="3198" w:hanging="360"/>
      </w:pPr>
      <w:rPr>
        <w:rFonts w:ascii="Symbol" w:hAnsi="Symbol" w:hint="default"/>
      </w:rPr>
    </w:lvl>
    <w:lvl w:ilvl="4" w:tplc="04220003" w:tentative="1">
      <w:start w:val="1"/>
      <w:numFmt w:val="bullet"/>
      <w:lvlText w:val="o"/>
      <w:lvlJc w:val="left"/>
      <w:pPr>
        <w:ind w:left="3918" w:hanging="360"/>
      </w:pPr>
      <w:rPr>
        <w:rFonts w:ascii="Courier New" w:hAnsi="Courier New" w:cs="Courier New" w:hint="default"/>
      </w:rPr>
    </w:lvl>
    <w:lvl w:ilvl="5" w:tplc="04220005" w:tentative="1">
      <w:start w:val="1"/>
      <w:numFmt w:val="bullet"/>
      <w:lvlText w:val=""/>
      <w:lvlJc w:val="left"/>
      <w:pPr>
        <w:ind w:left="4638" w:hanging="360"/>
      </w:pPr>
      <w:rPr>
        <w:rFonts w:ascii="Wingdings" w:hAnsi="Wingdings" w:hint="default"/>
      </w:rPr>
    </w:lvl>
    <w:lvl w:ilvl="6" w:tplc="04220001" w:tentative="1">
      <w:start w:val="1"/>
      <w:numFmt w:val="bullet"/>
      <w:lvlText w:val=""/>
      <w:lvlJc w:val="left"/>
      <w:pPr>
        <w:ind w:left="5358" w:hanging="360"/>
      </w:pPr>
      <w:rPr>
        <w:rFonts w:ascii="Symbol" w:hAnsi="Symbol" w:hint="default"/>
      </w:rPr>
    </w:lvl>
    <w:lvl w:ilvl="7" w:tplc="04220003" w:tentative="1">
      <w:start w:val="1"/>
      <w:numFmt w:val="bullet"/>
      <w:lvlText w:val="o"/>
      <w:lvlJc w:val="left"/>
      <w:pPr>
        <w:ind w:left="6078" w:hanging="360"/>
      </w:pPr>
      <w:rPr>
        <w:rFonts w:ascii="Courier New" w:hAnsi="Courier New" w:cs="Courier New" w:hint="default"/>
      </w:rPr>
    </w:lvl>
    <w:lvl w:ilvl="8" w:tplc="04220005" w:tentative="1">
      <w:start w:val="1"/>
      <w:numFmt w:val="bullet"/>
      <w:lvlText w:val=""/>
      <w:lvlJc w:val="left"/>
      <w:pPr>
        <w:ind w:left="6798"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EE4"/>
    <w:rsid w:val="000340FC"/>
    <w:rsid w:val="0005266B"/>
    <w:rsid w:val="000579ED"/>
    <w:rsid w:val="000736D5"/>
    <w:rsid w:val="00111F16"/>
    <w:rsid w:val="0011701A"/>
    <w:rsid w:val="00151E6D"/>
    <w:rsid w:val="00162CCB"/>
    <w:rsid w:val="00177D7A"/>
    <w:rsid w:val="00187D0D"/>
    <w:rsid w:val="001C32F3"/>
    <w:rsid w:val="002015DF"/>
    <w:rsid w:val="00210A26"/>
    <w:rsid w:val="00231E0E"/>
    <w:rsid w:val="00305A5F"/>
    <w:rsid w:val="00311367"/>
    <w:rsid w:val="00350D12"/>
    <w:rsid w:val="00390407"/>
    <w:rsid w:val="003C11B3"/>
    <w:rsid w:val="00402663"/>
    <w:rsid w:val="00435EE4"/>
    <w:rsid w:val="00513446"/>
    <w:rsid w:val="005257BB"/>
    <w:rsid w:val="005B11DA"/>
    <w:rsid w:val="005D5A68"/>
    <w:rsid w:val="005D787E"/>
    <w:rsid w:val="005E2EB1"/>
    <w:rsid w:val="00693210"/>
    <w:rsid w:val="006D63D1"/>
    <w:rsid w:val="006E241A"/>
    <w:rsid w:val="00737D58"/>
    <w:rsid w:val="007A605A"/>
    <w:rsid w:val="007A6A9C"/>
    <w:rsid w:val="007C5432"/>
    <w:rsid w:val="007E4939"/>
    <w:rsid w:val="007F1093"/>
    <w:rsid w:val="008E7DE7"/>
    <w:rsid w:val="008F7817"/>
    <w:rsid w:val="0091480C"/>
    <w:rsid w:val="00921FD3"/>
    <w:rsid w:val="00947918"/>
    <w:rsid w:val="00997D4C"/>
    <w:rsid w:val="009C55FF"/>
    <w:rsid w:val="009E35E7"/>
    <w:rsid w:val="009E5F38"/>
    <w:rsid w:val="00A050BC"/>
    <w:rsid w:val="00A17A1E"/>
    <w:rsid w:val="00A22143"/>
    <w:rsid w:val="00A26501"/>
    <w:rsid w:val="00A459B2"/>
    <w:rsid w:val="00A861EF"/>
    <w:rsid w:val="00AA0E42"/>
    <w:rsid w:val="00AB3BD6"/>
    <w:rsid w:val="00B07743"/>
    <w:rsid w:val="00B43D59"/>
    <w:rsid w:val="00B87FB6"/>
    <w:rsid w:val="00C241DC"/>
    <w:rsid w:val="00C81213"/>
    <w:rsid w:val="00CA1224"/>
    <w:rsid w:val="00CD0F07"/>
    <w:rsid w:val="00CD4D98"/>
    <w:rsid w:val="00CF5221"/>
    <w:rsid w:val="00DB5A7F"/>
    <w:rsid w:val="00DF705A"/>
    <w:rsid w:val="00E35D3A"/>
    <w:rsid w:val="00E759CA"/>
    <w:rsid w:val="00E91CC4"/>
    <w:rsid w:val="00EB14E5"/>
    <w:rsid w:val="00EB2E5A"/>
    <w:rsid w:val="00EB4469"/>
    <w:rsid w:val="00EC0FBA"/>
    <w:rsid w:val="00F17D94"/>
    <w:rsid w:val="00F3462D"/>
    <w:rsid w:val="00FD2618"/>
    <w:rsid w:val="00FF2A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ADA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35E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435E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435EE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435EE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435EE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435EE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35EE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35EE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35EE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35EE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435EE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435EE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435EE4"/>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435EE4"/>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435EE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35EE4"/>
    <w:rPr>
      <w:rFonts w:eastAsiaTheme="majorEastAsia" w:cstheme="majorBidi"/>
      <w:color w:val="595959" w:themeColor="text1" w:themeTint="A6"/>
    </w:rPr>
  </w:style>
  <w:style w:type="character" w:customStyle="1" w:styleId="80">
    <w:name w:val="Заголовок 8 Знак"/>
    <w:basedOn w:val="a0"/>
    <w:link w:val="8"/>
    <w:uiPriority w:val="9"/>
    <w:semiHidden/>
    <w:rsid w:val="00435EE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35EE4"/>
    <w:rPr>
      <w:rFonts w:eastAsiaTheme="majorEastAsia" w:cstheme="majorBidi"/>
      <w:color w:val="272727" w:themeColor="text1" w:themeTint="D8"/>
    </w:rPr>
  </w:style>
  <w:style w:type="paragraph" w:styleId="a3">
    <w:name w:val="Title"/>
    <w:basedOn w:val="a"/>
    <w:next w:val="a"/>
    <w:link w:val="a4"/>
    <w:uiPriority w:val="10"/>
    <w:qFormat/>
    <w:rsid w:val="00435E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435EE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35EE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35EE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35EE4"/>
    <w:pPr>
      <w:spacing w:before="160"/>
      <w:jc w:val="center"/>
    </w:pPr>
    <w:rPr>
      <w:i/>
      <w:iCs/>
      <w:color w:val="404040" w:themeColor="text1" w:themeTint="BF"/>
    </w:rPr>
  </w:style>
  <w:style w:type="character" w:customStyle="1" w:styleId="22">
    <w:name w:val="Цитата 2 Знак"/>
    <w:basedOn w:val="a0"/>
    <w:link w:val="21"/>
    <w:uiPriority w:val="29"/>
    <w:rsid w:val="00435EE4"/>
    <w:rPr>
      <w:i/>
      <w:iCs/>
      <w:color w:val="404040" w:themeColor="text1" w:themeTint="BF"/>
    </w:rPr>
  </w:style>
  <w:style w:type="paragraph" w:styleId="a7">
    <w:name w:val="List Paragraph"/>
    <w:basedOn w:val="a"/>
    <w:uiPriority w:val="34"/>
    <w:qFormat/>
    <w:rsid w:val="00435EE4"/>
    <w:pPr>
      <w:ind w:left="720"/>
      <w:contextualSpacing/>
    </w:pPr>
  </w:style>
  <w:style w:type="character" w:styleId="a8">
    <w:name w:val="Intense Emphasis"/>
    <w:basedOn w:val="a0"/>
    <w:uiPriority w:val="21"/>
    <w:qFormat/>
    <w:rsid w:val="00435EE4"/>
    <w:rPr>
      <w:i/>
      <w:iCs/>
      <w:color w:val="2F5496" w:themeColor="accent1" w:themeShade="BF"/>
    </w:rPr>
  </w:style>
  <w:style w:type="paragraph" w:styleId="a9">
    <w:name w:val="Intense Quote"/>
    <w:basedOn w:val="a"/>
    <w:next w:val="a"/>
    <w:link w:val="aa"/>
    <w:uiPriority w:val="30"/>
    <w:qFormat/>
    <w:rsid w:val="00435E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435EE4"/>
    <w:rPr>
      <w:i/>
      <w:iCs/>
      <w:color w:val="2F5496" w:themeColor="accent1" w:themeShade="BF"/>
    </w:rPr>
  </w:style>
  <w:style w:type="character" w:styleId="ab">
    <w:name w:val="Intense Reference"/>
    <w:basedOn w:val="a0"/>
    <w:uiPriority w:val="32"/>
    <w:qFormat/>
    <w:rsid w:val="00435EE4"/>
    <w:rPr>
      <w:b/>
      <w:bCs/>
      <w:smallCaps/>
      <w:color w:val="2F5496" w:themeColor="accent1" w:themeShade="BF"/>
      <w:spacing w:val="5"/>
    </w:rPr>
  </w:style>
  <w:style w:type="paragraph" w:styleId="ac">
    <w:name w:val="TOC Heading"/>
    <w:basedOn w:val="1"/>
    <w:next w:val="a"/>
    <w:uiPriority w:val="39"/>
    <w:unhideWhenUsed/>
    <w:qFormat/>
    <w:rsid w:val="00111F16"/>
    <w:pPr>
      <w:spacing w:before="480" w:after="0" w:line="360" w:lineRule="auto"/>
      <w:ind w:firstLine="709"/>
      <w:jc w:val="both"/>
      <w:outlineLvl w:val="9"/>
    </w:pPr>
    <w:rPr>
      <w:b/>
      <w:bCs/>
      <w:kern w:val="0"/>
      <w:sz w:val="28"/>
      <w:szCs w:val="28"/>
      <w:lang w:val="ru-RU"/>
      <w14:ligatures w14:val="none"/>
    </w:rPr>
  </w:style>
  <w:style w:type="paragraph" w:styleId="11">
    <w:name w:val="toc 1"/>
    <w:basedOn w:val="a"/>
    <w:next w:val="a"/>
    <w:autoRedefine/>
    <w:uiPriority w:val="39"/>
    <w:unhideWhenUsed/>
    <w:rsid w:val="00111F16"/>
    <w:pPr>
      <w:spacing w:after="100" w:line="360" w:lineRule="auto"/>
      <w:ind w:firstLine="709"/>
      <w:jc w:val="both"/>
    </w:pPr>
    <w:rPr>
      <w:kern w:val="0"/>
      <w:lang w:val="ru-RU"/>
      <w14:ligatures w14:val="none"/>
    </w:rPr>
  </w:style>
  <w:style w:type="character" w:styleId="ad">
    <w:name w:val="Hyperlink"/>
    <w:basedOn w:val="a0"/>
    <w:uiPriority w:val="99"/>
    <w:unhideWhenUsed/>
    <w:rsid w:val="00111F16"/>
    <w:rPr>
      <w:color w:val="0563C1" w:themeColor="hyperlink"/>
      <w:u w:val="single"/>
    </w:rPr>
  </w:style>
  <w:style w:type="paragraph" w:styleId="23">
    <w:name w:val="toc 2"/>
    <w:basedOn w:val="a"/>
    <w:next w:val="a"/>
    <w:autoRedefine/>
    <w:uiPriority w:val="39"/>
    <w:unhideWhenUsed/>
    <w:rsid w:val="00111F16"/>
    <w:pPr>
      <w:tabs>
        <w:tab w:val="right" w:leader="dot" w:pos="9628"/>
      </w:tabs>
      <w:spacing w:after="0" w:line="360" w:lineRule="auto"/>
      <w:ind w:left="284" w:firstLine="709"/>
      <w:jc w:val="both"/>
    </w:pPr>
    <w:rPr>
      <w:kern w:val="0"/>
      <w:lang w:val="ru-RU"/>
      <w14:ligatures w14:val="none"/>
    </w:rPr>
  </w:style>
  <w:style w:type="table" w:customStyle="1" w:styleId="TableNormal1">
    <w:name w:val="Table Normal1"/>
    <w:uiPriority w:val="2"/>
    <w:semiHidden/>
    <w:unhideWhenUsed/>
    <w:qFormat/>
    <w:rsid w:val="00111F1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styleId="ae">
    <w:name w:val="Table Grid"/>
    <w:basedOn w:val="a1"/>
    <w:uiPriority w:val="59"/>
    <w:rsid w:val="002015DF"/>
    <w:pPr>
      <w:spacing w:after="0" w:line="240" w:lineRule="auto"/>
      <w:ind w:firstLine="709"/>
      <w:jc w:val="both"/>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CA1224"/>
    <w:pPr>
      <w:tabs>
        <w:tab w:val="center" w:pos="4819"/>
        <w:tab w:val="right" w:pos="9639"/>
      </w:tabs>
      <w:spacing w:after="0" w:line="240" w:lineRule="auto"/>
    </w:pPr>
  </w:style>
  <w:style w:type="character" w:customStyle="1" w:styleId="af0">
    <w:name w:val="Верхний колонтитул Знак"/>
    <w:basedOn w:val="a0"/>
    <w:link w:val="af"/>
    <w:uiPriority w:val="99"/>
    <w:rsid w:val="00CA1224"/>
  </w:style>
  <w:style w:type="paragraph" w:styleId="af1">
    <w:name w:val="footer"/>
    <w:basedOn w:val="a"/>
    <w:link w:val="af2"/>
    <w:uiPriority w:val="99"/>
    <w:unhideWhenUsed/>
    <w:rsid w:val="00CA1224"/>
    <w:pPr>
      <w:tabs>
        <w:tab w:val="center" w:pos="4819"/>
        <w:tab w:val="right" w:pos="9639"/>
      </w:tabs>
      <w:spacing w:after="0" w:line="240" w:lineRule="auto"/>
    </w:pPr>
  </w:style>
  <w:style w:type="character" w:customStyle="1" w:styleId="af2">
    <w:name w:val="Нижний колонтитул Знак"/>
    <w:basedOn w:val="a0"/>
    <w:link w:val="af1"/>
    <w:uiPriority w:val="99"/>
    <w:rsid w:val="00CA1224"/>
  </w:style>
  <w:style w:type="paragraph" w:styleId="af3">
    <w:name w:val="Balloon Text"/>
    <w:basedOn w:val="a"/>
    <w:link w:val="af4"/>
    <w:uiPriority w:val="99"/>
    <w:semiHidden/>
    <w:unhideWhenUsed/>
    <w:rsid w:val="00E35D3A"/>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E35D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35E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435E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435EE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435EE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435EE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435EE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35EE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35EE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35EE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35EE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435EE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435EE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435EE4"/>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435EE4"/>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435EE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35EE4"/>
    <w:rPr>
      <w:rFonts w:eastAsiaTheme="majorEastAsia" w:cstheme="majorBidi"/>
      <w:color w:val="595959" w:themeColor="text1" w:themeTint="A6"/>
    </w:rPr>
  </w:style>
  <w:style w:type="character" w:customStyle="1" w:styleId="80">
    <w:name w:val="Заголовок 8 Знак"/>
    <w:basedOn w:val="a0"/>
    <w:link w:val="8"/>
    <w:uiPriority w:val="9"/>
    <w:semiHidden/>
    <w:rsid w:val="00435EE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35EE4"/>
    <w:rPr>
      <w:rFonts w:eastAsiaTheme="majorEastAsia" w:cstheme="majorBidi"/>
      <w:color w:val="272727" w:themeColor="text1" w:themeTint="D8"/>
    </w:rPr>
  </w:style>
  <w:style w:type="paragraph" w:styleId="a3">
    <w:name w:val="Title"/>
    <w:basedOn w:val="a"/>
    <w:next w:val="a"/>
    <w:link w:val="a4"/>
    <w:uiPriority w:val="10"/>
    <w:qFormat/>
    <w:rsid w:val="00435E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435EE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35EE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35EE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35EE4"/>
    <w:pPr>
      <w:spacing w:before="160"/>
      <w:jc w:val="center"/>
    </w:pPr>
    <w:rPr>
      <w:i/>
      <w:iCs/>
      <w:color w:val="404040" w:themeColor="text1" w:themeTint="BF"/>
    </w:rPr>
  </w:style>
  <w:style w:type="character" w:customStyle="1" w:styleId="22">
    <w:name w:val="Цитата 2 Знак"/>
    <w:basedOn w:val="a0"/>
    <w:link w:val="21"/>
    <w:uiPriority w:val="29"/>
    <w:rsid w:val="00435EE4"/>
    <w:rPr>
      <w:i/>
      <w:iCs/>
      <w:color w:val="404040" w:themeColor="text1" w:themeTint="BF"/>
    </w:rPr>
  </w:style>
  <w:style w:type="paragraph" w:styleId="a7">
    <w:name w:val="List Paragraph"/>
    <w:basedOn w:val="a"/>
    <w:uiPriority w:val="34"/>
    <w:qFormat/>
    <w:rsid w:val="00435EE4"/>
    <w:pPr>
      <w:ind w:left="720"/>
      <w:contextualSpacing/>
    </w:pPr>
  </w:style>
  <w:style w:type="character" w:styleId="a8">
    <w:name w:val="Intense Emphasis"/>
    <w:basedOn w:val="a0"/>
    <w:uiPriority w:val="21"/>
    <w:qFormat/>
    <w:rsid w:val="00435EE4"/>
    <w:rPr>
      <w:i/>
      <w:iCs/>
      <w:color w:val="2F5496" w:themeColor="accent1" w:themeShade="BF"/>
    </w:rPr>
  </w:style>
  <w:style w:type="paragraph" w:styleId="a9">
    <w:name w:val="Intense Quote"/>
    <w:basedOn w:val="a"/>
    <w:next w:val="a"/>
    <w:link w:val="aa"/>
    <w:uiPriority w:val="30"/>
    <w:qFormat/>
    <w:rsid w:val="00435E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435EE4"/>
    <w:rPr>
      <w:i/>
      <w:iCs/>
      <w:color w:val="2F5496" w:themeColor="accent1" w:themeShade="BF"/>
    </w:rPr>
  </w:style>
  <w:style w:type="character" w:styleId="ab">
    <w:name w:val="Intense Reference"/>
    <w:basedOn w:val="a0"/>
    <w:uiPriority w:val="32"/>
    <w:qFormat/>
    <w:rsid w:val="00435EE4"/>
    <w:rPr>
      <w:b/>
      <w:bCs/>
      <w:smallCaps/>
      <w:color w:val="2F5496" w:themeColor="accent1" w:themeShade="BF"/>
      <w:spacing w:val="5"/>
    </w:rPr>
  </w:style>
  <w:style w:type="paragraph" w:styleId="ac">
    <w:name w:val="TOC Heading"/>
    <w:basedOn w:val="1"/>
    <w:next w:val="a"/>
    <w:uiPriority w:val="39"/>
    <w:unhideWhenUsed/>
    <w:qFormat/>
    <w:rsid w:val="00111F16"/>
    <w:pPr>
      <w:spacing w:before="480" w:after="0" w:line="360" w:lineRule="auto"/>
      <w:ind w:firstLine="709"/>
      <w:jc w:val="both"/>
      <w:outlineLvl w:val="9"/>
    </w:pPr>
    <w:rPr>
      <w:b/>
      <w:bCs/>
      <w:kern w:val="0"/>
      <w:sz w:val="28"/>
      <w:szCs w:val="28"/>
      <w:lang w:val="ru-RU"/>
      <w14:ligatures w14:val="none"/>
    </w:rPr>
  </w:style>
  <w:style w:type="paragraph" w:styleId="11">
    <w:name w:val="toc 1"/>
    <w:basedOn w:val="a"/>
    <w:next w:val="a"/>
    <w:autoRedefine/>
    <w:uiPriority w:val="39"/>
    <w:unhideWhenUsed/>
    <w:rsid w:val="00111F16"/>
    <w:pPr>
      <w:spacing w:after="100" w:line="360" w:lineRule="auto"/>
      <w:ind w:firstLine="709"/>
      <w:jc w:val="both"/>
    </w:pPr>
    <w:rPr>
      <w:kern w:val="0"/>
      <w:lang w:val="ru-RU"/>
      <w14:ligatures w14:val="none"/>
    </w:rPr>
  </w:style>
  <w:style w:type="character" w:styleId="ad">
    <w:name w:val="Hyperlink"/>
    <w:basedOn w:val="a0"/>
    <w:uiPriority w:val="99"/>
    <w:unhideWhenUsed/>
    <w:rsid w:val="00111F16"/>
    <w:rPr>
      <w:color w:val="0563C1" w:themeColor="hyperlink"/>
      <w:u w:val="single"/>
    </w:rPr>
  </w:style>
  <w:style w:type="paragraph" w:styleId="23">
    <w:name w:val="toc 2"/>
    <w:basedOn w:val="a"/>
    <w:next w:val="a"/>
    <w:autoRedefine/>
    <w:uiPriority w:val="39"/>
    <w:unhideWhenUsed/>
    <w:rsid w:val="00111F16"/>
    <w:pPr>
      <w:tabs>
        <w:tab w:val="right" w:leader="dot" w:pos="9628"/>
      </w:tabs>
      <w:spacing w:after="0" w:line="360" w:lineRule="auto"/>
      <w:ind w:left="284" w:firstLine="709"/>
      <w:jc w:val="both"/>
    </w:pPr>
    <w:rPr>
      <w:kern w:val="0"/>
      <w:lang w:val="ru-RU"/>
      <w14:ligatures w14:val="none"/>
    </w:rPr>
  </w:style>
  <w:style w:type="table" w:customStyle="1" w:styleId="TableNormal1">
    <w:name w:val="Table Normal1"/>
    <w:uiPriority w:val="2"/>
    <w:semiHidden/>
    <w:unhideWhenUsed/>
    <w:qFormat/>
    <w:rsid w:val="00111F1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styleId="ae">
    <w:name w:val="Table Grid"/>
    <w:basedOn w:val="a1"/>
    <w:uiPriority w:val="59"/>
    <w:rsid w:val="002015DF"/>
    <w:pPr>
      <w:spacing w:after="0" w:line="240" w:lineRule="auto"/>
      <w:ind w:firstLine="709"/>
      <w:jc w:val="both"/>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CA1224"/>
    <w:pPr>
      <w:tabs>
        <w:tab w:val="center" w:pos="4819"/>
        <w:tab w:val="right" w:pos="9639"/>
      </w:tabs>
      <w:spacing w:after="0" w:line="240" w:lineRule="auto"/>
    </w:pPr>
  </w:style>
  <w:style w:type="character" w:customStyle="1" w:styleId="af0">
    <w:name w:val="Верхний колонтитул Знак"/>
    <w:basedOn w:val="a0"/>
    <w:link w:val="af"/>
    <w:uiPriority w:val="99"/>
    <w:rsid w:val="00CA1224"/>
  </w:style>
  <w:style w:type="paragraph" w:styleId="af1">
    <w:name w:val="footer"/>
    <w:basedOn w:val="a"/>
    <w:link w:val="af2"/>
    <w:uiPriority w:val="99"/>
    <w:unhideWhenUsed/>
    <w:rsid w:val="00CA1224"/>
    <w:pPr>
      <w:tabs>
        <w:tab w:val="center" w:pos="4819"/>
        <w:tab w:val="right" w:pos="9639"/>
      </w:tabs>
      <w:spacing w:after="0" w:line="240" w:lineRule="auto"/>
    </w:pPr>
  </w:style>
  <w:style w:type="character" w:customStyle="1" w:styleId="af2">
    <w:name w:val="Нижний колонтитул Знак"/>
    <w:basedOn w:val="a0"/>
    <w:link w:val="af1"/>
    <w:uiPriority w:val="99"/>
    <w:rsid w:val="00CA1224"/>
  </w:style>
  <w:style w:type="paragraph" w:styleId="af3">
    <w:name w:val="Balloon Text"/>
    <w:basedOn w:val="a"/>
    <w:link w:val="af4"/>
    <w:uiPriority w:val="99"/>
    <w:semiHidden/>
    <w:unhideWhenUsed/>
    <w:rsid w:val="00E35D3A"/>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E35D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20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7E51F-3E2D-4E8A-AEC1-FEC78931E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82</Pages>
  <Words>21618</Words>
  <Characters>123226</Characters>
  <Application>Microsoft Office Word</Application>
  <DocSecurity>0</DocSecurity>
  <Lines>1026</Lines>
  <Paragraphs>289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144555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MARYNA ZARUDZEI</dc:creator>
  <cp:lastModifiedBy>user</cp:lastModifiedBy>
  <cp:revision>2</cp:revision>
  <dcterms:created xsi:type="dcterms:W3CDTF">2025-10-01T18:25:00Z</dcterms:created>
  <dcterms:modified xsi:type="dcterms:W3CDTF">2025-10-01T18:25:00Z</dcterms:modified>
</cp:coreProperties>
</file>