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950" w:rsidRPr="00532195" w:rsidRDefault="00F67950" w:rsidP="00532195">
      <w:pPr>
        <w:spacing w:after="0" w:line="360" w:lineRule="auto"/>
        <w:jc w:val="center"/>
        <w:rPr>
          <w:rFonts w:ascii="Times New Roman" w:hAnsi="Times New Roman" w:cs="Times New Roman"/>
          <w:b/>
          <w:sz w:val="28"/>
          <w:szCs w:val="28"/>
        </w:rPr>
      </w:pPr>
      <w:r w:rsidRPr="00532195">
        <w:rPr>
          <w:rFonts w:ascii="Times New Roman" w:hAnsi="Times New Roman" w:cs="Times New Roman"/>
          <w:b/>
          <w:sz w:val="28"/>
          <w:szCs w:val="28"/>
        </w:rPr>
        <w:t>ПРОБЛЕМИ ЗАСТОСУВАННЯ ПРИВОДУ СВІДКА ЯК ЗАХОДУ ПРОЦЕСУАЛЬН</w:t>
      </w:r>
      <w:r w:rsidR="003E37E4" w:rsidRPr="00532195">
        <w:rPr>
          <w:rFonts w:ascii="Times New Roman" w:hAnsi="Times New Roman" w:cs="Times New Roman"/>
          <w:b/>
          <w:sz w:val="28"/>
          <w:szCs w:val="28"/>
        </w:rPr>
        <w:t>ОГО ПРИМУСУ У ЦИВІЛЬНОМУ СУДОЧИНСТВІ</w:t>
      </w:r>
      <w:r w:rsidRPr="00532195">
        <w:rPr>
          <w:rFonts w:ascii="Times New Roman" w:hAnsi="Times New Roman" w:cs="Times New Roman"/>
          <w:b/>
          <w:sz w:val="28"/>
          <w:szCs w:val="28"/>
        </w:rPr>
        <w:t xml:space="preserve"> УКРАЇНИ</w:t>
      </w:r>
    </w:p>
    <w:p w:rsidR="00F67950" w:rsidRPr="00532195" w:rsidRDefault="00F67950" w:rsidP="00532195">
      <w:pPr>
        <w:spacing w:after="0" w:line="360" w:lineRule="auto"/>
        <w:jc w:val="center"/>
        <w:rPr>
          <w:rFonts w:ascii="Times New Roman" w:hAnsi="Times New Roman" w:cs="Times New Roman"/>
          <w:b/>
          <w:sz w:val="28"/>
          <w:szCs w:val="28"/>
        </w:rPr>
      </w:pPr>
    </w:p>
    <w:p w:rsidR="00F67950" w:rsidRPr="00532195" w:rsidRDefault="00F67950" w:rsidP="00532195">
      <w:pPr>
        <w:spacing w:after="0" w:line="360" w:lineRule="auto"/>
        <w:jc w:val="right"/>
        <w:rPr>
          <w:rFonts w:ascii="Times New Roman" w:hAnsi="Times New Roman" w:cs="Times New Roman"/>
          <w:b/>
          <w:sz w:val="28"/>
          <w:szCs w:val="28"/>
        </w:rPr>
      </w:pPr>
      <w:r w:rsidRPr="00532195">
        <w:rPr>
          <w:rFonts w:ascii="Times New Roman" w:hAnsi="Times New Roman" w:cs="Times New Roman"/>
          <w:b/>
          <w:sz w:val="28"/>
          <w:szCs w:val="28"/>
        </w:rPr>
        <w:t xml:space="preserve">Вербіцка Зоряна Андріївна </w:t>
      </w:r>
    </w:p>
    <w:p w:rsidR="00F67950" w:rsidRPr="00532195" w:rsidRDefault="003E37E4" w:rsidP="00532195">
      <w:pPr>
        <w:spacing w:after="0" w:line="360" w:lineRule="auto"/>
        <w:jc w:val="right"/>
        <w:rPr>
          <w:rFonts w:ascii="Times New Roman" w:hAnsi="Times New Roman" w:cs="Times New Roman"/>
          <w:sz w:val="28"/>
          <w:szCs w:val="28"/>
        </w:rPr>
      </w:pPr>
      <w:r w:rsidRPr="00532195">
        <w:rPr>
          <w:rFonts w:ascii="Times New Roman" w:hAnsi="Times New Roman" w:cs="Times New Roman"/>
          <w:sz w:val="28"/>
          <w:szCs w:val="28"/>
        </w:rPr>
        <w:t xml:space="preserve">здобувач вищої освіти </w:t>
      </w:r>
      <w:r w:rsidR="00F67950" w:rsidRPr="00532195">
        <w:rPr>
          <w:rFonts w:ascii="Times New Roman" w:hAnsi="Times New Roman" w:cs="Times New Roman"/>
          <w:sz w:val="28"/>
          <w:szCs w:val="28"/>
        </w:rPr>
        <w:t xml:space="preserve">юридичного відділення </w:t>
      </w:r>
    </w:p>
    <w:p w:rsidR="00F67950" w:rsidRPr="00532195" w:rsidRDefault="00F67950" w:rsidP="00532195">
      <w:pPr>
        <w:spacing w:after="0" w:line="360" w:lineRule="auto"/>
        <w:ind w:left="1134"/>
        <w:jc w:val="right"/>
        <w:rPr>
          <w:rFonts w:ascii="Times New Roman" w:hAnsi="Times New Roman" w:cs="Times New Roman"/>
          <w:sz w:val="28"/>
          <w:szCs w:val="28"/>
        </w:rPr>
      </w:pPr>
      <w:r w:rsidRPr="00532195">
        <w:rPr>
          <w:rFonts w:ascii="Times New Roman" w:hAnsi="Times New Roman" w:cs="Times New Roman"/>
          <w:sz w:val="28"/>
          <w:szCs w:val="28"/>
        </w:rPr>
        <w:t>Галицький коледж імені В’ячеслава Чорновола</w:t>
      </w:r>
    </w:p>
    <w:p w:rsidR="00F67950" w:rsidRPr="00532195" w:rsidRDefault="00F67950" w:rsidP="00532195">
      <w:pPr>
        <w:spacing w:after="0" w:line="360" w:lineRule="auto"/>
        <w:ind w:firstLine="567"/>
        <w:jc w:val="right"/>
        <w:rPr>
          <w:rFonts w:ascii="Times New Roman" w:hAnsi="Times New Roman" w:cs="Times New Roman"/>
          <w:b/>
          <w:color w:val="000000" w:themeColor="text1"/>
          <w:sz w:val="28"/>
          <w:szCs w:val="28"/>
        </w:rPr>
      </w:pPr>
      <w:r w:rsidRPr="00532195">
        <w:rPr>
          <w:rFonts w:ascii="Times New Roman" w:hAnsi="Times New Roman" w:cs="Times New Roman"/>
          <w:b/>
          <w:color w:val="000000" w:themeColor="text1"/>
          <w:sz w:val="28"/>
          <w:szCs w:val="28"/>
        </w:rPr>
        <w:t>Науковий керівник: Руденко Олена Анатоліївна</w:t>
      </w:r>
    </w:p>
    <w:p w:rsidR="00F67950" w:rsidRPr="00532195" w:rsidRDefault="003E37E4" w:rsidP="00532195">
      <w:pPr>
        <w:spacing w:after="0" w:line="360" w:lineRule="auto"/>
        <w:ind w:firstLine="567"/>
        <w:jc w:val="right"/>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к. ю. н.</w:t>
      </w:r>
      <w:r w:rsidR="00F67950" w:rsidRPr="00532195">
        <w:rPr>
          <w:rFonts w:ascii="Times New Roman" w:hAnsi="Times New Roman" w:cs="Times New Roman"/>
          <w:color w:val="000000" w:themeColor="text1"/>
          <w:sz w:val="28"/>
          <w:szCs w:val="28"/>
        </w:rPr>
        <w:t xml:space="preserve">, викладач </w:t>
      </w:r>
      <w:r w:rsidRPr="00532195">
        <w:rPr>
          <w:rFonts w:ascii="Times New Roman" w:hAnsi="Times New Roman" w:cs="Times New Roman"/>
          <w:color w:val="000000" w:themeColor="text1"/>
          <w:sz w:val="28"/>
          <w:szCs w:val="28"/>
        </w:rPr>
        <w:t>кафедри права</w:t>
      </w:r>
    </w:p>
    <w:p w:rsidR="00F67950" w:rsidRPr="00532195" w:rsidRDefault="00F67950" w:rsidP="00532195">
      <w:pPr>
        <w:spacing w:after="0" w:line="360" w:lineRule="auto"/>
        <w:jc w:val="right"/>
        <w:rPr>
          <w:rFonts w:ascii="Times New Roman" w:hAnsi="Times New Roman" w:cs="Times New Roman"/>
          <w:sz w:val="28"/>
          <w:szCs w:val="28"/>
        </w:rPr>
      </w:pPr>
      <w:r w:rsidRPr="00532195">
        <w:rPr>
          <w:rFonts w:ascii="Times New Roman" w:hAnsi="Times New Roman" w:cs="Times New Roman"/>
          <w:sz w:val="28"/>
          <w:szCs w:val="28"/>
        </w:rPr>
        <w:t>Галицький коледж імені В’ячеслава Чорновола</w:t>
      </w:r>
    </w:p>
    <w:p w:rsidR="00F67950" w:rsidRPr="00532195" w:rsidRDefault="00F67950" w:rsidP="00532195">
      <w:pPr>
        <w:spacing w:after="0" w:line="360" w:lineRule="auto"/>
        <w:jc w:val="right"/>
        <w:rPr>
          <w:rFonts w:ascii="Times New Roman" w:hAnsi="Times New Roman" w:cs="Times New Roman"/>
          <w:i/>
          <w:sz w:val="28"/>
          <w:szCs w:val="28"/>
        </w:rPr>
      </w:pPr>
      <w:r w:rsidRPr="00532195">
        <w:rPr>
          <w:rFonts w:ascii="Times New Roman" w:hAnsi="Times New Roman" w:cs="Times New Roman"/>
          <w:i/>
          <w:sz w:val="28"/>
          <w:szCs w:val="28"/>
        </w:rPr>
        <w:t>Україна</w:t>
      </w:r>
    </w:p>
    <w:p w:rsidR="00F67950" w:rsidRPr="00532195" w:rsidRDefault="00F67950" w:rsidP="00532195">
      <w:pPr>
        <w:spacing w:after="0" w:line="360" w:lineRule="auto"/>
        <w:ind w:firstLine="567"/>
        <w:jc w:val="both"/>
        <w:rPr>
          <w:rFonts w:ascii="Times New Roman" w:hAnsi="Times New Roman" w:cs="Times New Roman"/>
          <w:b/>
          <w:i/>
          <w:color w:val="000000" w:themeColor="text1"/>
          <w:sz w:val="28"/>
          <w:szCs w:val="28"/>
        </w:rPr>
      </w:pPr>
    </w:p>
    <w:p w:rsidR="00EF6517" w:rsidRPr="00532195" w:rsidRDefault="003E37E4"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Р</w:t>
      </w:r>
      <w:r w:rsidR="00EF6517" w:rsidRPr="00532195">
        <w:rPr>
          <w:rFonts w:ascii="Times New Roman" w:hAnsi="Times New Roman" w:cs="Times New Roman"/>
          <w:color w:val="000000" w:themeColor="text1"/>
          <w:sz w:val="28"/>
          <w:szCs w:val="28"/>
        </w:rPr>
        <w:t>еалізація завдань цивільного судочинства</w:t>
      </w:r>
      <w:r w:rsidRPr="00532195">
        <w:rPr>
          <w:rFonts w:ascii="Times New Roman" w:hAnsi="Times New Roman" w:cs="Times New Roman"/>
          <w:color w:val="000000" w:themeColor="text1"/>
          <w:sz w:val="28"/>
          <w:szCs w:val="28"/>
        </w:rPr>
        <w:t xml:space="preserve"> може супроводжуватися</w:t>
      </w:r>
      <w:r w:rsidR="00EF6517" w:rsidRPr="00532195">
        <w:rPr>
          <w:rFonts w:ascii="Times New Roman" w:hAnsi="Times New Roman" w:cs="Times New Roman"/>
          <w:color w:val="000000" w:themeColor="text1"/>
          <w:sz w:val="28"/>
          <w:szCs w:val="28"/>
        </w:rPr>
        <w:t xml:space="preserve"> протиправною поведінкою або бездіяльністю деяких учасників </w:t>
      </w:r>
      <w:r w:rsidRPr="00532195">
        <w:rPr>
          <w:rFonts w:ascii="Times New Roman" w:hAnsi="Times New Roman" w:cs="Times New Roman"/>
          <w:color w:val="000000" w:themeColor="text1"/>
          <w:sz w:val="28"/>
          <w:szCs w:val="28"/>
        </w:rPr>
        <w:t xml:space="preserve">судового </w:t>
      </w:r>
      <w:r w:rsidR="00EF6517" w:rsidRPr="00532195">
        <w:rPr>
          <w:rFonts w:ascii="Times New Roman" w:hAnsi="Times New Roman" w:cs="Times New Roman"/>
          <w:color w:val="000000" w:themeColor="text1"/>
          <w:sz w:val="28"/>
          <w:szCs w:val="28"/>
        </w:rPr>
        <w:t>процесу або інших осіб, присутніх у с</w:t>
      </w:r>
      <w:r w:rsidRPr="00532195">
        <w:rPr>
          <w:rFonts w:ascii="Times New Roman" w:hAnsi="Times New Roman" w:cs="Times New Roman"/>
          <w:color w:val="000000" w:themeColor="text1"/>
          <w:sz w:val="28"/>
          <w:szCs w:val="28"/>
        </w:rPr>
        <w:t xml:space="preserve">удовому засіданні, що негативно впливає на </w:t>
      </w:r>
      <w:r w:rsidR="00EF6517" w:rsidRPr="00532195">
        <w:rPr>
          <w:rFonts w:ascii="Times New Roman" w:hAnsi="Times New Roman" w:cs="Times New Roman"/>
          <w:color w:val="000000" w:themeColor="text1"/>
          <w:sz w:val="28"/>
          <w:szCs w:val="28"/>
        </w:rPr>
        <w:t xml:space="preserve">процедуру розгляду і вирішення цивільних справ. У таких випадках раціональним </w:t>
      </w:r>
      <w:r w:rsidRPr="00532195">
        <w:rPr>
          <w:rFonts w:ascii="Times New Roman" w:hAnsi="Times New Roman" w:cs="Times New Roman"/>
          <w:color w:val="000000" w:themeColor="text1"/>
          <w:sz w:val="28"/>
          <w:szCs w:val="28"/>
        </w:rPr>
        <w:t xml:space="preserve">інструментом протидії вчиненню порушень, а, отже і </w:t>
      </w:r>
      <w:r w:rsidR="00EF6517" w:rsidRPr="00532195">
        <w:rPr>
          <w:rFonts w:ascii="Times New Roman" w:hAnsi="Times New Roman" w:cs="Times New Roman"/>
          <w:color w:val="000000" w:themeColor="text1"/>
          <w:sz w:val="28"/>
          <w:szCs w:val="28"/>
        </w:rPr>
        <w:t>важливим засобом забезпечення ефективності здійснення правосуддя у цивільних справах є застосування процесуального при</w:t>
      </w:r>
      <w:r w:rsidRPr="00532195">
        <w:rPr>
          <w:rFonts w:ascii="Times New Roman" w:hAnsi="Times New Roman" w:cs="Times New Roman"/>
          <w:color w:val="000000" w:themeColor="text1"/>
          <w:sz w:val="28"/>
          <w:szCs w:val="28"/>
        </w:rPr>
        <w:t>мусу у вигляді закріплених у Цивільному процесуальному кодексі України заходів. Одним із таких заходів відповідно до ст.144 ЦПК України, є привід свідка.</w:t>
      </w:r>
    </w:p>
    <w:p w:rsidR="00EF6517" w:rsidRPr="00532195" w:rsidRDefault="003E37E4"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Слід сказати, що нині відсутнє комплексне монографічне дослідження, присвячене</w:t>
      </w:r>
      <w:r w:rsidR="00EF6517" w:rsidRPr="00532195">
        <w:rPr>
          <w:rFonts w:ascii="Times New Roman" w:hAnsi="Times New Roman" w:cs="Times New Roman"/>
          <w:color w:val="000000" w:themeColor="text1"/>
          <w:sz w:val="28"/>
          <w:szCs w:val="28"/>
        </w:rPr>
        <w:t xml:space="preserve"> таком</w:t>
      </w:r>
      <w:r w:rsidRPr="00532195">
        <w:rPr>
          <w:rFonts w:ascii="Times New Roman" w:hAnsi="Times New Roman" w:cs="Times New Roman"/>
          <w:color w:val="000000" w:themeColor="text1"/>
          <w:sz w:val="28"/>
          <w:szCs w:val="28"/>
        </w:rPr>
        <w:t>у заходу процесуального примусу</w:t>
      </w:r>
      <w:r w:rsidR="00EF6517" w:rsidRPr="00532195">
        <w:rPr>
          <w:rFonts w:ascii="Times New Roman" w:hAnsi="Times New Roman" w:cs="Times New Roman"/>
          <w:color w:val="000000" w:themeColor="text1"/>
          <w:sz w:val="28"/>
          <w:szCs w:val="28"/>
        </w:rPr>
        <w:t xml:space="preserve"> як привід свідка,</w:t>
      </w:r>
      <w:r w:rsidRPr="00532195">
        <w:rPr>
          <w:rFonts w:ascii="Times New Roman" w:hAnsi="Times New Roman" w:cs="Times New Roman"/>
          <w:color w:val="000000" w:themeColor="text1"/>
          <w:sz w:val="28"/>
          <w:szCs w:val="28"/>
        </w:rPr>
        <w:t xml:space="preserve"> правове регулювання цього процесуального інституту є недосконалим.</w:t>
      </w:r>
      <w:r w:rsidR="00EF6517" w:rsidRPr="00532195">
        <w:rPr>
          <w:rFonts w:ascii="Times New Roman" w:hAnsi="Times New Roman" w:cs="Times New Roman"/>
          <w:color w:val="000000" w:themeColor="text1"/>
          <w:sz w:val="28"/>
          <w:szCs w:val="28"/>
        </w:rPr>
        <w:t xml:space="preserve"> </w:t>
      </w:r>
      <w:r w:rsidR="00550073" w:rsidRPr="00532195">
        <w:rPr>
          <w:rFonts w:ascii="Times New Roman" w:hAnsi="Times New Roman" w:cs="Times New Roman"/>
          <w:color w:val="000000" w:themeColor="text1"/>
          <w:sz w:val="28"/>
          <w:szCs w:val="28"/>
        </w:rPr>
        <w:t xml:space="preserve">Вказане свідчить про актуальність дослідження обраної теми </w:t>
      </w:r>
      <w:r w:rsidR="00F67950" w:rsidRPr="00532195">
        <w:rPr>
          <w:rFonts w:ascii="Times New Roman" w:hAnsi="Times New Roman" w:cs="Times New Roman"/>
          <w:color w:val="000000" w:themeColor="text1"/>
          <w:sz w:val="28"/>
          <w:szCs w:val="28"/>
          <w:lang w:val="ru-RU"/>
        </w:rPr>
        <w:t>[4</w:t>
      </w:r>
      <w:r w:rsidR="00EF6517" w:rsidRPr="00532195">
        <w:rPr>
          <w:rFonts w:ascii="Times New Roman" w:hAnsi="Times New Roman" w:cs="Times New Roman"/>
          <w:color w:val="000000" w:themeColor="text1"/>
          <w:sz w:val="28"/>
          <w:szCs w:val="28"/>
          <w:lang w:val="ru-RU"/>
        </w:rPr>
        <w:t>]</w:t>
      </w:r>
      <w:r w:rsidR="00EF6517" w:rsidRPr="00532195">
        <w:rPr>
          <w:rFonts w:ascii="Times New Roman" w:hAnsi="Times New Roman" w:cs="Times New Roman"/>
          <w:color w:val="000000" w:themeColor="text1"/>
          <w:sz w:val="28"/>
          <w:szCs w:val="28"/>
        </w:rPr>
        <w:t>.</w:t>
      </w:r>
    </w:p>
    <w:p w:rsidR="00EF6517" w:rsidRPr="00532195" w:rsidRDefault="00EF6517" w:rsidP="00532195">
      <w:pPr>
        <w:spacing w:after="0" w:line="360" w:lineRule="auto"/>
        <w:ind w:firstLine="567"/>
        <w:jc w:val="both"/>
        <w:rPr>
          <w:rFonts w:ascii="Times New Roman" w:hAnsi="Times New Roman" w:cs="Times New Roman"/>
          <w:color w:val="000000" w:themeColor="text1"/>
          <w:sz w:val="28"/>
          <w:szCs w:val="28"/>
          <w:shd w:val="clear" w:color="auto" w:fill="FFFFFF"/>
        </w:rPr>
      </w:pPr>
      <w:r w:rsidRPr="00532195">
        <w:rPr>
          <w:rFonts w:ascii="Times New Roman" w:hAnsi="Times New Roman" w:cs="Times New Roman"/>
          <w:color w:val="000000" w:themeColor="text1"/>
          <w:sz w:val="28"/>
          <w:szCs w:val="28"/>
        </w:rPr>
        <w:t>Поняття заходів процесуального примусу закріплено у главі 9 розділу І «Загальні положення» ЦПК України. Так, з</w:t>
      </w:r>
      <w:r w:rsidR="008A2C25">
        <w:rPr>
          <w:rFonts w:ascii="Times New Roman" w:hAnsi="Times New Roman" w:cs="Times New Roman"/>
          <w:color w:val="000000" w:themeColor="text1"/>
          <w:sz w:val="28"/>
          <w:szCs w:val="28"/>
        </w:rPr>
        <w:t>гідно із ч.1 ст.143 ЦПК України</w:t>
      </w:r>
      <w:r w:rsidRPr="00532195">
        <w:rPr>
          <w:rFonts w:ascii="Times New Roman" w:hAnsi="Times New Roman" w:cs="Times New Roman"/>
          <w:color w:val="000000" w:themeColor="text1"/>
          <w:sz w:val="28"/>
          <w:szCs w:val="28"/>
        </w:rPr>
        <w:t xml:space="preserve"> </w:t>
      </w:r>
      <w:r w:rsidRPr="00532195">
        <w:rPr>
          <w:rFonts w:ascii="Times New Roman" w:hAnsi="Times New Roman" w:cs="Times New Roman"/>
          <w:color w:val="000000" w:themeColor="text1"/>
          <w:sz w:val="28"/>
          <w:szCs w:val="28"/>
          <w:shd w:val="clear" w:color="auto" w:fill="FFFFFF"/>
        </w:rPr>
        <w:t xml:space="preserve">заходами процесуального примусу є процесуальні дії, що вчиняються судом у визначених цим Кодексом випадках з метою спонукання відповідних осіб до виконання встановлених у суді правил, добросовісного виконання </w:t>
      </w:r>
      <w:r w:rsidRPr="00532195">
        <w:rPr>
          <w:rFonts w:ascii="Times New Roman" w:hAnsi="Times New Roman" w:cs="Times New Roman"/>
          <w:color w:val="000000" w:themeColor="text1"/>
          <w:sz w:val="28"/>
          <w:szCs w:val="28"/>
          <w:shd w:val="clear" w:color="auto" w:fill="FFFFFF"/>
        </w:rPr>
        <w:lastRenderedPageBreak/>
        <w:t>процесуальних обов’язків, припинення зловживання правами та запобігання створенню протиправних перешкод у здійсненні судочинства</w:t>
      </w:r>
      <w:r w:rsidR="00F67950" w:rsidRPr="00532195">
        <w:rPr>
          <w:rFonts w:ascii="Times New Roman" w:hAnsi="Times New Roman" w:cs="Times New Roman"/>
          <w:color w:val="000000" w:themeColor="text1"/>
          <w:sz w:val="28"/>
          <w:szCs w:val="28"/>
          <w:shd w:val="clear" w:color="auto" w:fill="FFFFFF"/>
          <w:lang w:val="ru-RU"/>
        </w:rPr>
        <w:t xml:space="preserve"> [2</w:t>
      </w:r>
      <w:r w:rsidRPr="00532195">
        <w:rPr>
          <w:rFonts w:ascii="Times New Roman" w:hAnsi="Times New Roman" w:cs="Times New Roman"/>
          <w:color w:val="000000" w:themeColor="text1"/>
          <w:sz w:val="28"/>
          <w:szCs w:val="28"/>
          <w:shd w:val="clear" w:color="auto" w:fill="FFFFFF"/>
          <w:lang w:val="ru-RU"/>
        </w:rPr>
        <w:t>]</w:t>
      </w:r>
      <w:r w:rsidRPr="00532195">
        <w:rPr>
          <w:rFonts w:ascii="Times New Roman" w:hAnsi="Times New Roman" w:cs="Times New Roman"/>
          <w:color w:val="000000" w:themeColor="text1"/>
          <w:sz w:val="28"/>
          <w:szCs w:val="28"/>
          <w:shd w:val="clear" w:color="auto" w:fill="FFFFFF"/>
        </w:rPr>
        <w:t>.</w:t>
      </w:r>
    </w:p>
    <w:p w:rsidR="00EF6517" w:rsidRPr="00532195" w:rsidRDefault="00EF6517" w:rsidP="00532195">
      <w:pPr>
        <w:spacing w:after="0" w:line="360" w:lineRule="auto"/>
        <w:ind w:firstLine="567"/>
        <w:jc w:val="both"/>
        <w:rPr>
          <w:rFonts w:ascii="Times New Roman" w:hAnsi="Times New Roman" w:cs="Times New Roman"/>
          <w:i/>
          <w:sz w:val="28"/>
          <w:szCs w:val="28"/>
          <w:u w:val="single"/>
        </w:rPr>
      </w:pPr>
      <w:r w:rsidRPr="00532195">
        <w:rPr>
          <w:rFonts w:ascii="Times New Roman" w:hAnsi="Times New Roman" w:cs="Times New Roman"/>
          <w:sz w:val="28"/>
          <w:szCs w:val="28"/>
        </w:rPr>
        <w:t>Отже, заходи процесуального при</w:t>
      </w:r>
      <w:r w:rsidR="00550073" w:rsidRPr="00532195">
        <w:rPr>
          <w:rFonts w:ascii="Times New Roman" w:hAnsi="Times New Roman" w:cs="Times New Roman"/>
          <w:sz w:val="28"/>
          <w:szCs w:val="28"/>
        </w:rPr>
        <w:t xml:space="preserve">мусу є реакцією суду на ті </w:t>
      </w:r>
      <w:r w:rsidRPr="00532195">
        <w:rPr>
          <w:rFonts w:ascii="Times New Roman" w:hAnsi="Times New Roman" w:cs="Times New Roman"/>
          <w:sz w:val="28"/>
          <w:szCs w:val="28"/>
        </w:rPr>
        <w:t>порушення,</w:t>
      </w:r>
      <w:r w:rsidR="00550073" w:rsidRPr="00532195">
        <w:rPr>
          <w:rFonts w:ascii="Times New Roman" w:hAnsi="Times New Roman" w:cs="Times New Roman"/>
          <w:sz w:val="28"/>
          <w:szCs w:val="28"/>
        </w:rPr>
        <w:t xml:space="preserve"> що допущені учасниками процесу або іншими особами</w:t>
      </w:r>
      <w:r w:rsidRPr="00532195">
        <w:rPr>
          <w:rFonts w:ascii="Times New Roman" w:hAnsi="Times New Roman" w:cs="Times New Roman"/>
          <w:sz w:val="28"/>
          <w:szCs w:val="28"/>
        </w:rPr>
        <w:t>, присутні</w:t>
      </w:r>
      <w:r w:rsidR="00550073" w:rsidRPr="00532195">
        <w:rPr>
          <w:rFonts w:ascii="Times New Roman" w:hAnsi="Times New Roman" w:cs="Times New Roman"/>
          <w:sz w:val="28"/>
          <w:szCs w:val="28"/>
        </w:rPr>
        <w:t xml:space="preserve">ми в залі судового засідання, </w:t>
      </w:r>
      <w:r w:rsidRPr="00532195">
        <w:rPr>
          <w:rFonts w:ascii="Times New Roman" w:hAnsi="Times New Roman" w:cs="Times New Roman"/>
          <w:sz w:val="28"/>
          <w:szCs w:val="28"/>
        </w:rPr>
        <w:t>які заважають подал</w:t>
      </w:r>
      <w:r w:rsidR="00550073" w:rsidRPr="00532195">
        <w:rPr>
          <w:rFonts w:ascii="Times New Roman" w:hAnsi="Times New Roman" w:cs="Times New Roman"/>
          <w:sz w:val="28"/>
          <w:szCs w:val="28"/>
        </w:rPr>
        <w:t xml:space="preserve">ьшому розгляду справи та можуть застосовуватися виключно судом. </w:t>
      </w:r>
    </w:p>
    <w:p w:rsidR="00EF6517" w:rsidRPr="00532195" w:rsidRDefault="00550073" w:rsidP="00532195">
      <w:pPr>
        <w:spacing w:after="0" w:line="360" w:lineRule="auto"/>
        <w:ind w:firstLine="567"/>
        <w:jc w:val="both"/>
        <w:rPr>
          <w:rFonts w:ascii="Times New Roman" w:hAnsi="Times New Roman" w:cs="Times New Roman"/>
          <w:i/>
          <w:color w:val="000000" w:themeColor="text1"/>
          <w:sz w:val="28"/>
          <w:szCs w:val="28"/>
        </w:rPr>
      </w:pPr>
      <w:r w:rsidRPr="00532195">
        <w:rPr>
          <w:rFonts w:ascii="Times New Roman" w:hAnsi="Times New Roman" w:cs="Times New Roman"/>
          <w:sz w:val="28"/>
          <w:szCs w:val="28"/>
        </w:rPr>
        <w:t>Застосування заход</w:t>
      </w:r>
      <w:r w:rsidR="008A2C25">
        <w:rPr>
          <w:rFonts w:ascii="Times New Roman" w:hAnsi="Times New Roman" w:cs="Times New Roman"/>
          <w:sz w:val="28"/>
          <w:szCs w:val="28"/>
        </w:rPr>
        <w:t>ів процесуального примусу спричиняє</w:t>
      </w:r>
      <w:r w:rsidRPr="00532195">
        <w:rPr>
          <w:rFonts w:ascii="Times New Roman" w:hAnsi="Times New Roman" w:cs="Times New Roman"/>
          <w:sz w:val="28"/>
          <w:szCs w:val="28"/>
        </w:rPr>
        <w:t xml:space="preserve"> </w:t>
      </w:r>
      <w:r w:rsidR="00EF6517" w:rsidRPr="00532195">
        <w:rPr>
          <w:rFonts w:ascii="Times New Roman" w:hAnsi="Times New Roman" w:cs="Times New Roman"/>
          <w:sz w:val="28"/>
          <w:szCs w:val="28"/>
        </w:rPr>
        <w:t>певні негативні наслідки як для суб’єктів, щодо яких їх застосовано, так і для загального перебігу цивільного судочинства. Враховуючи надзвичайно важливу ро</w:t>
      </w:r>
      <w:r w:rsidRPr="00532195">
        <w:rPr>
          <w:rFonts w:ascii="Times New Roman" w:hAnsi="Times New Roman" w:cs="Times New Roman"/>
          <w:sz w:val="28"/>
          <w:szCs w:val="28"/>
        </w:rPr>
        <w:t xml:space="preserve">ль належного здійснення </w:t>
      </w:r>
      <w:r w:rsidR="00EF6517" w:rsidRPr="00532195">
        <w:rPr>
          <w:rFonts w:ascii="Times New Roman" w:hAnsi="Times New Roman" w:cs="Times New Roman"/>
          <w:sz w:val="28"/>
          <w:szCs w:val="28"/>
        </w:rPr>
        <w:t xml:space="preserve">всіма </w:t>
      </w:r>
      <w:r w:rsidRPr="00532195">
        <w:rPr>
          <w:rFonts w:ascii="Times New Roman" w:hAnsi="Times New Roman" w:cs="Times New Roman"/>
          <w:sz w:val="28"/>
          <w:szCs w:val="28"/>
        </w:rPr>
        <w:t xml:space="preserve">учасниками судового процесу </w:t>
      </w:r>
      <w:r w:rsidR="00EF6517" w:rsidRPr="00532195">
        <w:rPr>
          <w:rFonts w:ascii="Times New Roman" w:hAnsi="Times New Roman" w:cs="Times New Roman"/>
          <w:sz w:val="28"/>
          <w:szCs w:val="28"/>
        </w:rPr>
        <w:t xml:space="preserve">своїх процесуальних прав та виконання своїх процесуальних обов’язків, </w:t>
      </w:r>
      <w:r w:rsidR="00EF6517" w:rsidRPr="00532195">
        <w:rPr>
          <w:rFonts w:ascii="Times New Roman" w:hAnsi="Times New Roman" w:cs="Times New Roman"/>
          <w:color w:val="000000" w:themeColor="text1"/>
          <w:sz w:val="28"/>
          <w:szCs w:val="28"/>
        </w:rPr>
        <w:t xml:space="preserve">законодавець досить ґрунтовно і вичерпно регламентує підстави </w:t>
      </w:r>
      <w:r w:rsidR="008A2C25">
        <w:rPr>
          <w:rFonts w:ascii="Times New Roman" w:hAnsi="Times New Roman" w:cs="Times New Roman"/>
          <w:color w:val="000000" w:themeColor="text1"/>
          <w:sz w:val="28"/>
          <w:szCs w:val="28"/>
        </w:rPr>
        <w:t>та порядок застосування заходів процесуального примусу.</w:t>
      </w:r>
    </w:p>
    <w:p w:rsidR="00EF6517" w:rsidRPr="00532195" w:rsidRDefault="00EF6517" w:rsidP="00532195">
      <w:pPr>
        <w:spacing w:after="0" w:line="360" w:lineRule="auto"/>
        <w:ind w:firstLine="567"/>
        <w:jc w:val="both"/>
        <w:rPr>
          <w:rFonts w:ascii="Times New Roman" w:hAnsi="Times New Roman" w:cs="Times New Roman"/>
          <w:sz w:val="28"/>
          <w:szCs w:val="28"/>
        </w:rPr>
      </w:pPr>
      <w:r w:rsidRPr="00532195">
        <w:rPr>
          <w:rFonts w:ascii="Times New Roman" w:hAnsi="Times New Roman" w:cs="Times New Roman"/>
          <w:sz w:val="28"/>
          <w:szCs w:val="28"/>
        </w:rPr>
        <w:t>У ч.1 ст.144 ЦПК України закріплено вичерпний перелік заходів процесуального примусу, до яких належать: попередження; видалення із зали судового засідання; тимчасове вилучення доказів для дослідження судом; привід; штраф.</w:t>
      </w:r>
    </w:p>
    <w:p w:rsidR="00EF6517" w:rsidRPr="00532195" w:rsidRDefault="00EF6517"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Як зазначається в юридичній літературі, свідки належать до категорії учасників процесу, які не мають юридичної заінтересованості щодо предмета спору, а залучаються або допускаються судом для надання допомоги в розгляді справи</w:t>
      </w:r>
      <w:r w:rsidR="008A2C25" w:rsidRPr="008A2C25">
        <w:rPr>
          <w:rFonts w:ascii="Times New Roman" w:hAnsi="Times New Roman" w:cs="Times New Roman"/>
          <w:color w:val="000000" w:themeColor="text1"/>
          <w:sz w:val="28"/>
          <w:szCs w:val="28"/>
          <w:lang w:val="ru-RU"/>
        </w:rPr>
        <w:t xml:space="preserve"> [4]</w:t>
      </w:r>
      <w:r w:rsidRPr="00532195">
        <w:rPr>
          <w:rFonts w:ascii="Times New Roman" w:hAnsi="Times New Roman" w:cs="Times New Roman"/>
          <w:color w:val="000000" w:themeColor="text1"/>
          <w:sz w:val="28"/>
          <w:szCs w:val="28"/>
        </w:rPr>
        <w:t>.</w:t>
      </w:r>
    </w:p>
    <w:p w:rsidR="00EF6517" w:rsidRPr="00532195" w:rsidRDefault="00EF6517" w:rsidP="00532195">
      <w:pPr>
        <w:spacing w:after="0" w:line="360" w:lineRule="auto"/>
        <w:ind w:firstLine="567"/>
        <w:jc w:val="both"/>
        <w:rPr>
          <w:rFonts w:ascii="Times New Roman" w:hAnsi="Times New Roman" w:cs="Times New Roman"/>
          <w:color w:val="000000" w:themeColor="text1"/>
          <w:sz w:val="28"/>
          <w:szCs w:val="28"/>
          <w:u w:val="single"/>
          <w:shd w:val="clear" w:color="auto" w:fill="FFFFFF"/>
        </w:rPr>
      </w:pPr>
      <w:r w:rsidRPr="00532195">
        <w:rPr>
          <w:rFonts w:ascii="Times New Roman" w:hAnsi="Times New Roman" w:cs="Times New Roman"/>
          <w:color w:val="000000" w:themeColor="text1"/>
          <w:sz w:val="28"/>
          <w:szCs w:val="28"/>
        </w:rPr>
        <w:t xml:space="preserve">Відповідно до ч.2, 3 ст.69 ЦПК України </w:t>
      </w:r>
      <w:r w:rsidRPr="00532195">
        <w:rPr>
          <w:rFonts w:ascii="Times New Roman" w:hAnsi="Times New Roman" w:cs="Times New Roman"/>
          <w:color w:val="000000" w:themeColor="text1"/>
          <w:sz w:val="28"/>
          <w:szCs w:val="28"/>
          <w:shd w:val="clear" w:color="auto" w:fill="FFFFFF"/>
        </w:rPr>
        <w:t>свідок зобов’язаний з’явитися до суду за його викликом у визначений час і дати правдиві показання про відомі йому обставини. У разі неможливості прибуття до суду та участі в судовому засіданні в режимі відеоконференції за викликом суду свідок зобов’язаний завчасно повідомити про це суд</w:t>
      </w:r>
      <w:r w:rsidR="00550073" w:rsidRPr="00532195">
        <w:rPr>
          <w:rFonts w:ascii="Times New Roman" w:hAnsi="Times New Roman" w:cs="Times New Roman"/>
          <w:color w:val="000000" w:themeColor="text1"/>
          <w:sz w:val="28"/>
          <w:szCs w:val="28"/>
          <w:shd w:val="clear" w:color="auto" w:fill="FFFFFF"/>
        </w:rPr>
        <w:t xml:space="preserve"> </w:t>
      </w:r>
      <w:r w:rsidR="00550073" w:rsidRPr="00532195">
        <w:rPr>
          <w:rFonts w:ascii="Times New Roman" w:hAnsi="Times New Roman" w:cs="Times New Roman"/>
          <w:color w:val="000000" w:themeColor="text1"/>
          <w:sz w:val="28"/>
          <w:szCs w:val="28"/>
          <w:shd w:val="clear" w:color="auto" w:fill="FFFFFF"/>
          <w:lang w:val="ru-RU"/>
        </w:rPr>
        <w:t>[2]</w:t>
      </w:r>
      <w:r w:rsidRPr="00532195">
        <w:rPr>
          <w:rFonts w:ascii="Times New Roman" w:hAnsi="Times New Roman" w:cs="Times New Roman"/>
          <w:color w:val="000000" w:themeColor="text1"/>
          <w:sz w:val="28"/>
          <w:szCs w:val="28"/>
          <w:shd w:val="clear" w:color="auto" w:fill="FFFFFF"/>
        </w:rPr>
        <w:t>.</w:t>
      </w:r>
    </w:p>
    <w:p w:rsidR="00EF6517" w:rsidRPr="00532195" w:rsidRDefault="00550073" w:rsidP="00532195">
      <w:pPr>
        <w:spacing w:after="0" w:line="360" w:lineRule="auto"/>
        <w:ind w:firstLine="567"/>
        <w:jc w:val="both"/>
        <w:rPr>
          <w:rFonts w:ascii="Times New Roman" w:hAnsi="Times New Roman" w:cs="Times New Roman"/>
          <w:color w:val="000000" w:themeColor="text1"/>
          <w:sz w:val="28"/>
          <w:szCs w:val="28"/>
          <w:u w:val="single"/>
        </w:rPr>
      </w:pPr>
      <w:r w:rsidRPr="00532195">
        <w:rPr>
          <w:rFonts w:ascii="Times New Roman" w:hAnsi="Times New Roman" w:cs="Times New Roman"/>
          <w:color w:val="000000" w:themeColor="text1"/>
          <w:sz w:val="28"/>
          <w:szCs w:val="28"/>
        </w:rPr>
        <w:t xml:space="preserve">Для </w:t>
      </w:r>
      <w:r w:rsidR="00EF6517" w:rsidRPr="00532195">
        <w:rPr>
          <w:rFonts w:ascii="Times New Roman" w:hAnsi="Times New Roman" w:cs="Times New Roman"/>
          <w:color w:val="000000" w:themeColor="text1"/>
          <w:sz w:val="28"/>
          <w:szCs w:val="28"/>
        </w:rPr>
        <w:t xml:space="preserve">забезпечення виконання свідками своїх обов’язків, а також доведення до суду доказової інформації, реагуючи на протиправні дії свідка, який не з’явився за викликом суду та не повідомив про причини своєї неявки (або ці причини були визнані судом неповажними), суд застосовує до нього державний </w:t>
      </w:r>
      <w:r w:rsidR="00EF6517" w:rsidRPr="00532195">
        <w:rPr>
          <w:rFonts w:ascii="Times New Roman" w:hAnsi="Times New Roman" w:cs="Times New Roman"/>
          <w:color w:val="000000" w:themeColor="text1"/>
          <w:sz w:val="28"/>
          <w:szCs w:val="28"/>
        </w:rPr>
        <w:lastRenderedPageBreak/>
        <w:t>примус, що проявляється або ж у заходах процесуального примусу, передбачених цивільним процесуальним законодавством (привід, передбачений ст.147 ЦПК України), або ж у адміністративній відповідальності, передбаченій ст. 185-3 КУпАП</w:t>
      </w:r>
      <w:r w:rsidR="00EF6517" w:rsidRPr="00532195">
        <w:rPr>
          <w:rFonts w:ascii="Times New Roman" w:hAnsi="Times New Roman" w:cs="Times New Roman"/>
          <w:color w:val="000000" w:themeColor="text1"/>
          <w:sz w:val="28"/>
          <w:szCs w:val="28"/>
          <w:lang w:val="ru-RU"/>
        </w:rPr>
        <w:t xml:space="preserve"> </w:t>
      </w:r>
      <w:r w:rsidR="00F67950" w:rsidRPr="00532195">
        <w:rPr>
          <w:rFonts w:ascii="Times New Roman" w:hAnsi="Times New Roman" w:cs="Times New Roman"/>
          <w:color w:val="000000" w:themeColor="text1"/>
          <w:sz w:val="28"/>
          <w:szCs w:val="28"/>
          <w:lang w:val="ru-RU"/>
        </w:rPr>
        <w:t>[4</w:t>
      </w:r>
      <w:r w:rsidR="00EF6517" w:rsidRPr="00532195">
        <w:rPr>
          <w:rFonts w:ascii="Times New Roman" w:hAnsi="Times New Roman" w:cs="Times New Roman"/>
          <w:color w:val="000000" w:themeColor="text1"/>
          <w:sz w:val="28"/>
          <w:szCs w:val="28"/>
          <w:lang w:val="ru-RU"/>
        </w:rPr>
        <w:t xml:space="preserve">, </w:t>
      </w:r>
      <w:r w:rsidR="00EF6517" w:rsidRPr="00532195">
        <w:rPr>
          <w:rFonts w:ascii="Times New Roman" w:hAnsi="Times New Roman" w:cs="Times New Roman"/>
          <w:color w:val="000000" w:themeColor="text1"/>
          <w:sz w:val="28"/>
          <w:szCs w:val="28"/>
          <w:lang w:val="en-US"/>
        </w:rPr>
        <w:t>c</w:t>
      </w:r>
      <w:r w:rsidR="00EF6517" w:rsidRPr="00532195">
        <w:rPr>
          <w:rFonts w:ascii="Times New Roman" w:hAnsi="Times New Roman" w:cs="Times New Roman"/>
          <w:color w:val="000000" w:themeColor="text1"/>
          <w:sz w:val="28"/>
          <w:szCs w:val="28"/>
          <w:lang w:val="ru-RU"/>
        </w:rPr>
        <w:t>.133]</w:t>
      </w:r>
      <w:r w:rsidR="00EF6517" w:rsidRPr="00532195">
        <w:rPr>
          <w:rFonts w:ascii="Times New Roman" w:hAnsi="Times New Roman" w:cs="Times New Roman"/>
          <w:color w:val="000000" w:themeColor="text1"/>
          <w:sz w:val="28"/>
          <w:szCs w:val="28"/>
        </w:rPr>
        <w:t>.</w:t>
      </w:r>
    </w:p>
    <w:p w:rsidR="00EF6517" w:rsidRPr="00532195" w:rsidRDefault="00EF6517"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Привід – це засіб примусу щодо особи, участь якої в судовому процесі суд визнав обов’язковою, у разі неприбуття до суду без поважних причин.</w:t>
      </w:r>
    </w:p>
    <w:p w:rsidR="00EF6517" w:rsidRPr="00532195" w:rsidRDefault="00EF6517" w:rsidP="00532195">
      <w:pPr>
        <w:spacing w:after="0" w:line="360" w:lineRule="auto"/>
        <w:ind w:firstLine="567"/>
        <w:jc w:val="both"/>
        <w:rPr>
          <w:rFonts w:ascii="Times New Roman" w:hAnsi="Times New Roman" w:cs="Times New Roman"/>
          <w:sz w:val="28"/>
          <w:szCs w:val="28"/>
        </w:rPr>
      </w:pPr>
      <w:r w:rsidRPr="00532195">
        <w:rPr>
          <w:rFonts w:ascii="Times New Roman" w:hAnsi="Times New Roman" w:cs="Times New Roman"/>
          <w:sz w:val="28"/>
          <w:szCs w:val="28"/>
        </w:rPr>
        <w:t>Зважаючи на правообмежувальний характер приводу, його застосування повинно здійснюватися на визначених законом підставах.</w:t>
      </w:r>
    </w:p>
    <w:p w:rsidR="00EF6517" w:rsidRPr="008A2C25" w:rsidRDefault="00EF6517" w:rsidP="008A2C2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 xml:space="preserve">Не з’явившись у судове засідання, свідок не тільки не виконує свій процесуальний обов’язок, але й проявляє неповагу до суду. Отже, вже сам факт неявки свідка в судове засідання свідчить про можливість застосування до нього </w:t>
      </w:r>
      <w:r w:rsidR="00550073" w:rsidRPr="00532195">
        <w:rPr>
          <w:rFonts w:ascii="Times New Roman" w:hAnsi="Times New Roman" w:cs="Times New Roman"/>
          <w:color w:val="000000" w:themeColor="text1"/>
          <w:sz w:val="28"/>
          <w:szCs w:val="28"/>
        </w:rPr>
        <w:t>заходів процесуального примусу. У</w:t>
      </w:r>
      <w:r w:rsidRPr="00532195">
        <w:rPr>
          <w:rFonts w:ascii="Times New Roman" w:hAnsi="Times New Roman" w:cs="Times New Roman"/>
          <w:color w:val="000000" w:themeColor="text1"/>
          <w:sz w:val="28"/>
          <w:szCs w:val="28"/>
        </w:rPr>
        <w:t xml:space="preserve"> ст.147 ЦПК України законодавець конкретизує, який саме свідок підлягає приводу.</w:t>
      </w:r>
    </w:p>
    <w:p w:rsidR="00EF6517" w:rsidRPr="00532195" w:rsidRDefault="00550073"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Так, п</w:t>
      </w:r>
      <w:r w:rsidR="00EF6517" w:rsidRPr="00532195">
        <w:rPr>
          <w:rFonts w:ascii="Times New Roman" w:hAnsi="Times New Roman" w:cs="Times New Roman"/>
          <w:color w:val="000000" w:themeColor="text1"/>
          <w:sz w:val="28"/>
          <w:szCs w:val="28"/>
        </w:rPr>
        <w:t xml:space="preserve">римусовому приводу свідок може бути підданий за таких умов у сукупності: </w:t>
      </w:r>
    </w:p>
    <w:p w:rsidR="00550073" w:rsidRPr="00532195" w:rsidRDefault="00EF6517" w:rsidP="00532195">
      <w:pPr>
        <w:pStyle w:val="a3"/>
        <w:numPr>
          <w:ilvl w:val="0"/>
          <w:numId w:val="5"/>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 xml:space="preserve">його належним чином повідомили про час і місце судового засідання; </w:t>
      </w:r>
    </w:p>
    <w:p w:rsidR="00550073" w:rsidRPr="00532195" w:rsidRDefault="00EF6517" w:rsidP="00532195">
      <w:pPr>
        <w:pStyle w:val="a3"/>
        <w:numPr>
          <w:ilvl w:val="0"/>
          <w:numId w:val="5"/>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 xml:space="preserve">він не з’явився в судове засідання без поважних причин або не повідомив про причини своєї неявки; </w:t>
      </w:r>
    </w:p>
    <w:p w:rsidR="00EF6517" w:rsidRPr="00532195" w:rsidRDefault="00EF6517" w:rsidP="00532195">
      <w:pPr>
        <w:pStyle w:val="a3"/>
        <w:numPr>
          <w:ilvl w:val="0"/>
          <w:numId w:val="5"/>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він не підпадає під категорію осіб, до яких не дозволено застосовувати цей захід (ч.4 ст.147 ЦПК України).</w:t>
      </w:r>
    </w:p>
    <w:p w:rsidR="00EF6517" w:rsidRPr="00532195" w:rsidRDefault="00550073"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Думається, що</w:t>
      </w:r>
      <w:r w:rsidRPr="00532195">
        <w:rPr>
          <w:rFonts w:ascii="Times New Roman" w:hAnsi="Times New Roman" w:cs="Times New Roman"/>
          <w:b/>
          <w:i/>
          <w:color w:val="000000" w:themeColor="text1"/>
          <w:sz w:val="28"/>
          <w:szCs w:val="28"/>
        </w:rPr>
        <w:t xml:space="preserve"> </w:t>
      </w:r>
      <w:r w:rsidR="00EF6517" w:rsidRPr="00532195">
        <w:rPr>
          <w:rFonts w:ascii="Times New Roman" w:hAnsi="Times New Roman" w:cs="Times New Roman"/>
          <w:color w:val="000000" w:themeColor="text1"/>
          <w:sz w:val="28"/>
          <w:szCs w:val="28"/>
        </w:rPr>
        <w:t>не варто виокремлювати лише одну умову для застосування приводу, оскільки наявність кожної із зазначених умов свідчить про неналежне виконання свідком своїх процесуальних обов’язків, що є перешкодою для нормального ходу цивільного судочинства (швидкого та об’єктивного розгляду та вирішення судом цивільної справи), а тому, відповідно, є підставою для застосування щодо нього заходу процесуального примусу у вигляді приводу.</w:t>
      </w:r>
    </w:p>
    <w:p w:rsidR="00EF6517" w:rsidRPr="00532195" w:rsidRDefault="00EF6517" w:rsidP="00532195">
      <w:pPr>
        <w:spacing w:after="0" w:line="360" w:lineRule="auto"/>
        <w:ind w:firstLine="567"/>
        <w:jc w:val="both"/>
        <w:rPr>
          <w:rFonts w:ascii="Times New Roman" w:hAnsi="Times New Roman" w:cs="Times New Roman"/>
          <w:color w:val="000000" w:themeColor="text1"/>
          <w:sz w:val="28"/>
          <w:szCs w:val="28"/>
          <w:shd w:val="clear" w:color="auto" w:fill="FFFFFF"/>
        </w:rPr>
      </w:pPr>
      <w:r w:rsidRPr="00532195">
        <w:rPr>
          <w:rFonts w:ascii="Times New Roman" w:hAnsi="Times New Roman" w:cs="Times New Roman"/>
          <w:color w:val="000000" w:themeColor="text1"/>
          <w:sz w:val="28"/>
          <w:szCs w:val="28"/>
        </w:rPr>
        <w:t xml:space="preserve">Варто зауважити, що не до </w:t>
      </w:r>
      <w:r w:rsidR="00550073" w:rsidRPr="00532195">
        <w:rPr>
          <w:rFonts w:ascii="Times New Roman" w:hAnsi="Times New Roman" w:cs="Times New Roman"/>
          <w:color w:val="000000" w:themeColor="text1"/>
          <w:sz w:val="28"/>
          <w:szCs w:val="28"/>
        </w:rPr>
        <w:t>всіх осіб може бути застосовано</w:t>
      </w:r>
      <w:r w:rsidRPr="00532195">
        <w:rPr>
          <w:rFonts w:ascii="Times New Roman" w:hAnsi="Times New Roman" w:cs="Times New Roman"/>
          <w:color w:val="000000" w:themeColor="text1"/>
          <w:sz w:val="28"/>
          <w:szCs w:val="28"/>
        </w:rPr>
        <w:t xml:space="preserve"> такий захід проце</w:t>
      </w:r>
      <w:r w:rsidR="00550073" w:rsidRPr="00532195">
        <w:rPr>
          <w:rFonts w:ascii="Times New Roman" w:hAnsi="Times New Roman" w:cs="Times New Roman"/>
          <w:color w:val="000000" w:themeColor="text1"/>
          <w:sz w:val="28"/>
          <w:szCs w:val="28"/>
        </w:rPr>
        <w:t xml:space="preserve">суального примусу як привід. Статтею </w:t>
      </w:r>
      <w:r w:rsidRPr="00532195">
        <w:rPr>
          <w:rFonts w:ascii="Times New Roman" w:hAnsi="Times New Roman" w:cs="Times New Roman"/>
          <w:color w:val="000000" w:themeColor="text1"/>
          <w:sz w:val="28"/>
          <w:szCs w:val="28"/>
        </w:rPr>
        <w:t xml:space="preserve">147 ЦПК України прямо передбачено можливість застосування приводу до свідка. При цьому у ч.4 цієї статті конкретизовано, що не підлягають приводу в суд </w:t>
      </w:r>
      <w:r w:rsidRPr="00532195">
        <w:rPr>
          <w:rFonts w:ascii="Times New Roman" w:hAnsi="Times New Roman" w:cs="Times New Roman"/>
          <w:color w:val="000000" w:themeColor="text1"/>
          <w:sz w:val="28"/>
          <w:szCs w:val="28"/>
          <w:shd w:val="clear" w:color="auto" w:fill="FFFFFF"/>
        </w:rPr>
        <w:t xml:space="preserve">особи, які не можуть </w:t>
      </w:r>
      <w:r w:rsidRPr="00532195">
        <w:rPr>
          <w:rFonts w:ascii="Times New Roman" w:hAnsi="Times New Roman" w:cs="Times New Roman"/>
          <w:color w:val="000000" w:themeColor="text1"/>
          <w:sz w:val="28"/>
          <w:szCs w:val="28"/>
          <w:shd w:val="clear" w:color="auto" w:fill="FFFFFF"/>
        </w:rPr>
        <w:lastRenderedPageBreak/>
        <w:t>бути допитані відповідно до </w:t>
      </w:r>
      <w:hyperlink r:id="rId6" w:anchor="n6543" w:history="1">
        <w:r w:rsidRPr="00532195">
          <w:rPr>
            <w:rStyle w:val="a4"/>
            <w:rFonts w:ascii="Times New Roman" w:hAnsi="Times New Roman" w:cs="Times New Roman"/>
            <w:color w:val="000000" w:themeColor="text1"/>
            <w:sz w:val="28"/>
            <w:szCs w:val="28"/>
            <w:u w:val="none"/>
            <w:shd w:val="clear" w:color="auto" w:fill="FFFFFF"/>
          </w:rPr>
          <w:t>ст.70</w:t>
        </w:r>
      </w:hyperlink>
      <w:r w:rsidRPr="00532195">
        <w:rPr>
          <w:rFonts w:ascii="Times New Roman" w:hAnsi="Times New Roman" w:cs="Times New Roman"/>
          <w:color w:val="000000" w:themeColor="text1"/>
          <w:sz w:val="28"/>
          <w:szCs w:val="28"/>
          <w:shd w:val="clear" w:color="auto" w:fill="FFFFFF"/>
        </w:rPr>
        <w:t xml:space="preserve"> ЦПК України, а також малолітні та неповнолітні особи, вагітні жінки, особи з інвалідністю I і II груп, особи, які доглядають дітей віком до шести років або дітей з інвалідністю.</w:t>
      </w:r>
    </w:p>
    <w:p w:rsidR="00EF6517" w:rsidRPr="00532195" w:rsidRDefault="00EF6517"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Про привід свідка суд постановляє ухвалу, яка повинна відповідати загальним вимогам до ухвал суду, що встановлені у ст. 260 ЦПК України.</w:t>
      </w:r>
    </w:p>
    <w:p w:rsidR="00EF6517" w:rsidRPr="00532195" w:rsidRDefault="00315FF9" w:rsidP="00532195">
      <w:pPr>
        <w:spacing w:after="0" w:line="360" w:lineRule="auto"/>
        <w:ind w:firstLine="567"/>
        <w:jc w:val="both"/>
        <w:rPr>
          <w:rFonts w:ascii="Times New Roman" w:hAnsi="Times New Roman" w:cs="Times New Roman"/>
          <w:sz w:val="28"/>
          <w:szCs w:val="28"/>
        </w:rPr>
      </w:pPr>
      <w:r w:rsidRPr="00532195">
        <w:rPr>
          <w:rFonts w:ascii="Times New Roman" w:hAnsi="Times New Roman" w:cs="Times New Roman"/>
          <w:sz w:val="28"/>
          <w:szCs w:val="28"/>
        </w:rPr>
        <w:t>Слід сказати, що однією із проблем застосування приводу свідка, є відсутність у цивільному судочинстві спеціального</w:t>
      </w:r>
      <w:r w:rsidR="00EF6517" w:rsidRPr="00532195">
        <w:rPr>
          <w:rFonts w:ascii="Times New Roman" w:hAnsi="Times New Roman" w:cs="Times New Roman"/>
          <w:sz w:val="28"/>
          <w:szCs w:val="28"/>
        </w:rPr>
        <w:t xml:space="preserve"> </w:t>
      </w:r>
      <w:r w:rsidRPr="00532195">
        <w:rPr>
          <w:rFonts w:ascii="Times New Roman" w:hAnsi="Times New Roman" w:cs="Times New Roman"/>
          <w:sz w:val="28"/>
          <w:szCs w:val="28"/>
        </w:rPr>
        <w:t>нормативно-правового</w:t>
      </w:r>
      <w:r w:rsidR="00EF6517" w:rsidRPr="00532195">
        <w:rPr>
          <w:rFonts w:ascii="Times New Roman" w:hAnsi="Times New Roman" w:cs="Times New Roman"/>
          <w:sz w:val="28"/>
          <w:szCs w:val="28"/>
        </w:rPr>
        <w:t xml:space="preserve"> акт</w:t>
      </w:r>
      <w:r w:rsidRPr="00532195">
        <w:rPr>
          <w:rFonts w:ascii="Times New Roman" w:hAnsi="Times New Roman" w:cs="Times New Roman"/>
          <w:sz w:val="28"/>
          <w:szCs w:val="28"/>
        </w:rPr>
        <w:t>а</w:t>
      </w:r>
      <w:r w:rsidR="00EF6517" w:rsidRPr="00532195">
        <w:rPr>
          <w:rFonts w:ascii="Times New Roman" w:hAnsi="Times New Roman" w:cs="Times New Roman"/>
          <w:sz w:val="28"/>
          <w:szCs w:val="28"/>
        </w:rPr>
        <w:t xml:space="preserve">, який регулює порядок </w:t>
      </w:r>
      <w:r w:rsidRPr="00532195">
        <w:rPr>
          <w:rFonts w:ascii="Times New Roman" w:hAnsi="Times New Roman" w:cs="Times New Roman"/>
          <w:sz w:val="28"/>
          <w:szCs w:val="28"/>
        </w:rPr>
        <w:t>виконання ухвали суду про привід свідка.</w:t>
      </w:r>
      <w:r w:rsidRPr="00532195">
        <w:rPr>
          <w:rFonts w:ascii="Times New Roman" w:hAnsi="Times New Roman" w:cs="Times New Roman"/>
          <w:b/>
          <w:i/>
          <w:sz w:val="28"/>
          <w:szCs w:val="28"/>
        </w:rPr>
        <w:t xml:space="preserve"> </w:t>
      </w:r>
      <w:r w:rsidRPr="00532195">
        <w:rPr>
          <w:rFonts w:ascii="Times New Roman" w:hAnsi="Times New Roman" w:cs="Times New Roman"/>
          <w:sz w:val="28"/>
          <w:szCs w:val="28"/>
        </w:rPr>
        <w:t xml:space="preserve">Так, згідно </w:t>
      </w:r>
      <w:r w:rsidR="00EF6517" w:rsidRPr="00532195">
        <w:rPr>
          <w:rFonts w:ascii="Times New Roman" w:hAnsi="Times New Roman" w:cs="Times New Roman"/>
          <w:sz w:val="28"/>
          <w:szCs w:val="28"/>
        </w:rPr>
        <w:t xml:space="preserve">Аналізу обліково-статистичної роботи Збаразького районного суду Тернопільської області за перше півріччя 2017 року, встановлено факт невиконання 70% ухвал суду про привід. </w:t>
      </w:r>
    </w:p>
    <w:p w:rsidR="00EF6517" w:rsidRPr="00532195" w:rsidRDefault="00EF6517" w:rsidP="00532195">
      <w:pPr>
        <w:spacing w:after="0" w:line="360" w:lineRule="auto"/>
        <w:ind w:firstLine="567"/>
        <w:jc w:val="both"/>
        <w:rPr>
          <w:rFonts w:ascii="Times New Roman" w:hAnsi="Times New Roman" w:cs="Times New Roman"/>
          <w:sz w:val="28"/>
          <w:szCs w:val="28"/>
        </w:rPr>
      </w:pPr>
      <w:r w:rsidRPr="00532195">
        <w:rPr>
          <w:rFonts w:ascii="Times New Roman" w:hAnsi="Times New Roman" w:cs="Times New Roman"/>
          <w:sz w:val="28"/>
          <w:szCs w:val="28"/>
        </w:rPr>
        <w:t xml:space="preserve">Порядок виконання ухвали про привід був визначений Наказом </w:t>
      </w:r>
      <w:r w:rsidR="00315FF9" w:rsidRPr="00532195">
        <w:rPr>
          <w:rFonts w:ascii="Times New Roman" w:hAnsi="Times New Roman" w:cs="Times New Roman"/>
          <w:sz w:val="28"/>
          <w:szCs w:val="28"/>
        </w:rPr>
        <w:t xml:space="preserve">Міністерства внутрішніх справ України </w:t>
      </w:r>
      <w:r w:rsidRPr="00532195">
        <w:rPr>
          <w:rFonts w:ascii="Times New Roman" w:hAnsi="Times New Roman" w:cs="Times New Roman"/>
          <w:sz w:val="28"/>
          <w:szCs w:val="28"/>
        </w:rPr>
        <w:t>№ 864 від 28.12.95</w:t>
      </w:r>
      <w:r w:rsidR="00315FF9" w:rsidRPr="00532195">
        <w:rPr>
          <w:rFonts w:ascii="Times New Roman" w:hAnsi="Times New Roman" w:cs="Times New Roman"/>
          <w:sz w:val="28"/>
          <w:szCs w:val="28"/>
        </w:rPr>
        <w:t>р.</w:t>
      </w:r>
      <w:r w:rsidRPr="00532195">
        <w:rPr>
          <w:rFonts w:ascii="Times New Roman" w:hAnsi="Times New Roman" w:cs="Times New Roman"/>
          <w:sz w:val="28"/>
          <w:szCs w:val="28"/>
        </w:rPr>
        <w:t xml:space="preserve"> «Про затвердження Інструкції про порядок виконання постанов прокурорів, суддів, слідчих, органів дізнання і ухвал судів про привід підозрюваних, обвинувачених, підсудних, свідк</w:t>
      </w:r>
      <w:r w:rsidR="00315FF9" w:rsidRPr="00532195">
        <w:rPr>
          <w:rFonts w:ascii="Times New Roman" w:hAnsi="Times New Roman" w:cs="Times New Roman"/>
          <w:sz w:val="28"/>
          <w:szCs w:val="28"/>
        </w:rPr>
        <w:t xml:space="preserve">ів і потерпілих», однак зазначена </w:t>
      </w:r>
      <w:r w:rsidRPr="00532195">
        <w:rPr>
          <w:rFonts w:ascii="Times New Roman" w:hAnsi="Times New Roman" w:cs="Times New Roman"/>
          <w:sz w:val="28"/>
          <w:szCs w:val="28"/>
        </w:rPr>
        <w:t>Інструкція втратила чинність на підставі Наказу</w:t>
      </w:r>
      <w:r w:rsidR="00315FF9" w:rsidRPr="00532195">
        <w:rPr>
          <w:rFonts w:ascii="Times New Roman" w:hAnsi="Times New Roman" w:cs="Times New Roman"/>
          <w:sz w:val="28"/>
          <w:szCs w:val="28"/>
        </w:rPr>
        <w:t xml:space="preserve"> Міністерства внутрішніх справ України</w:t>
      </w:r>
      <w:r w:rsidRPr="00532195">
        <w:rPr>
          <w:rFonts w:ascii="Times New Roman" w:hAnsi="Times New Roman" w:cs="Times New Roman"/>
          <w:sz w:val="28"/>
          <w:szCs w:val="28"/>
        </w:rPr>
        <w:t xml:space="preserve"> від 05.08.2009</w:t>
      </w:r>
      <w:r w:rsidR="00315FF9" w:rsidRPr="00532195">
        <w:rPr>
          <w:rFonts w:ascii="Times New Roman" w:hAnsi="Times New Roman" w:cs="Times New Roman"/>
          <w:sz w:val="28"/>
          <w:szCs w:val="28"/>
        </w:rPr>
        <w:t>р.</w:t>
      </w:r>
      <w:r w:rsidRPr="00532195">
        <w:rPr>
          <w:rFonts w:ascii="Times New Roman" w:hAnsi="Times New Roman" w:cs="Times New Roman"/>
          <w:sz w:val="28"/>
          <w:szCs w:val="28"/>
        </w:rPr>
        <w:t xml:space="preserve"> № 337 [</w:t>
      </w:r>
      <w:r w:rsidR="00F67950" w:rsidRPr="00532195">
        <w:rPr>
          <w:rFonts w:ascii="Times New Roman" w:hAnsi="Times New Roman" w:cs="Times New Roman"/>
          <w:sz w:val="28"/>
          <w:szCs w:val="28"/>
        </w:rPr>
        <w:t>3</w:t>
      </w:r>
      <w:r w:rsidRPr="00532195">
        <w:rPr>
          <w:rFonts w:ascii="Times New Roman" w:hAnsi="Times New Roman" w:cs="Times New Roman"/>
          <w:sz w:val="28"/>
          <w:szCs w:val="28"/>
        </w:rPr>
        <w:t>].</w:t>
      </w:r>
    </w:p>
    <w:p w:rsidR="00315FF9" w:rsidRPr="00532195" w:rsidRDefault="00315FF9"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Наступною проблемою застосування приводу свідка у цивільному судочинстві є відсутність у ЦПК України таких понять:</w:t>
      </w:r>
    </w:p>
    <w:p w:rsidR="00EF6517" w:rsidRPr="00532195" w:rsidRDefault="00EF6517" w:rsidP="00532195">
      <w:pPr>
        <w:pStyle w:val="a3"/>
        <w:numPr>
          <w:ilvl w:val="0"/>
          <w:numId w:val="2"/>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законодавець прямо не вказує, який свідок є належно викликаним;</w:t>
      </w:r>
    </w:p>
    <w:p w:rsidR="00EF6517" w:rsidRPr="00532195" w:rsidRDefault="00EF6517" w:rsidP="00532195">
      <w:pPr>
        <w:pStyle w:val="a3"/>
        <w:numPr>
          <w:ilvl w:val="0"/>
          <w:numId w:val="2"/>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законодавство не містить переліку поважних причин неявки свідка до суду;</w:t>
      </w:r>
    </w:p>
    <w:p w:rsidR="00EF6517" w:rsidRPr="00532195" w:rsidRDefault="00EF6517" w:rsidP="00532195">
      <w:pPr>
        <w:pStyle w:val="a3"/>
        <w:numPr>
          <w:ilvl w:val="0"/>
          <w:numId w:val="2"/>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окрім того, згідно із ЦПК України, у разі неможливості прибуття за викликом свідок зобов’язаний завчасно повідомити про це суд, проте законодавцем у цій нормі не розкривається сутність терміну «завчасно»;</w:t>
      </w:r>
    </w:p>
    <w:p w:rsidR="00EF6517" w:rsidRPr="00532195" w:rsidRDefault="00EF6517" w:rsidP="00532195">
      <w:pPr>
        <w:pStyle w:val="a3"/>
        <w:numPr>
          <w:ilvl w:val="0"/>
          <w:numId w:val="2"/>
        </w:numPr>
        <w:spacing w:after="0" w:line="360" w:lineRule="auto"/>
        <w:jc w:val="both"/>
        <w:rPr>
          <w:rFonts w:ascii="Times New Roman" w:hAnsi="Times New Roman" w:cs="Times New Roman"/>
          <w:sz w:val="28"/>
          <w:szCs w:val="28"/>
        </w:rPr>
      </w:pPr>
      <w:r w:rsidRPr="00532195">
        <w:rPr>
          <w:rFonts w:ascii="Times New Roman" w:hAnsi="Times New Roman" w:cs="Times New Roman"/>
          <w:sz w:val="28"/>
          <w:szCs w:val="28"/>
        </w:rPr>
        <w:t xml:space="preserve">не передбачено конкретизації заходів, які уповноважений здійснювати працівник поліції з метою виконання ухвали суду про привід свідка. </w:t>
      </w:r>
    </w:p>
    <w:p w:rsidR="00EF6517" w:rsidRPr="00532195" w:rsidRDefault="00315FF9" w:rsidP="0053219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 xml:space="preserve">Видається, </w:t>
      </w:r>
      <w:r w:rsidR="00EF6517" w:rsidRPr="00532195">
        <w:rPr>
          <w:rFonts w:ascii="Times New Roman" w:hAnsi="Times New Roman" w:cs="Times New Roman"/>
          <w:color w:val="000000" w:themeColor="text1"/>
          <w:sz w:val="28"/>
          <w:szCs w:val="28"/>
        </w:rPr>
        <w:t xml:space="preserve">однією із найголовніших проблем виконання ухвали про привід свідка є те, що свідок не є злочинцем, і здійснювати його примусовий привід </w:t>
      </w:r>
      <w:r w:rsidR="00EF6517" w:rsidRPr="00532195">
        <w:rPr>
          <w:rFonts w:ascii="Times New Roman" w:hAnsi="Times New Roman" w:cs="Times New Roman"/>
          <w:color w:val="000000" w:themeColor="text1"/>
          <w:sz w:val="28"/>
          <w:szCs w:val="28"/>
        </w:rPr>
        <w:lastRenderedPageBreak/>
        <w:t xml:space="preserve">працівниками поліції із використанням наручників </w:t>
      </w:r>
      <w:r w:rsidRPr="00532195">
        <w:rPr>
          <w:rFonts w:ascii="Times New Roman" w:hAnsi="Times New Roman" w:cs="Times New Roman"/>
          <w:color w:val="000000" w:themeColor="text1"/>
          <w:sz w:val="28"/>
          <w:szCs w:val="28"/>
        </w:rPr>
        <w:t xml:space="preserve">проти волі свідка неможливо. Окрім цього, </w:t>
      </w:r>
      <w:r w:rsidR="00EF6517" w:rsidRPr="00532195">
        <w:rPr>
          <w:rFonts w:ascii="Times New Roman" w:hAnsi="Times New Roman" w:cs="Times New Roman"/>
          <w:color w:val="000000" w:themeColor="text1"/>
          <w:sz w:val="28"/>
          <w:szCs w:val="28"/>
        </w:rPr>
        <w:t>застосування примусового приводу до особи впливає на її авторитет, репутацію, що становить сутність морального обтяження.</w:t>
      </w:r>
    </w:p>
    <w:p w:rsidR="00EF6517" w:rsidRPr="00532195" w:rsidRDefault="00532195" w:rsidP="008A2C25">
      <w:pPr>
        <w:spacing w:after="0" w:line="360" w:lineRule="auto"/>
        <w:ind w:firstLine="567"/>
        <w:jc w:val="both"/>
        <w:rPr>
          <w:rFonts w:ascii="Times New Roman" w:hAnsi="Times New Roman" w:cs="Times New Roman"/>
          <w:color w:val="000000" w:themeColor="text1"/>
          <w:sz w:val="28"/>
          <w:szCs w:val="28"/>
        </w:rPr>
      </w:pPr>
      <w:r w:rsidRPr="00532195">
        <w:rPr>
          <w:rFonts w:ascii="Times New Roman" w:hAnsi="Times New Roman" w:cs="Times New Roman"/>
          <w:color w:val="000000" w:themeColor="text1"/>
          <w:sz w:val="28"/>
          <w:szCs w:val="28"/>
        </w:rPr>
        <w:t xml:space="preserve">Ще одним недоліком правового регулювання </w:t>
      </w:r>
      <w:r w:rsidR="00EF6517" w:rsidRPr="00532195">
        <w:rPr>
          <w:rFonts w:ascii="Times New Roman" w:hAnsi="Times New Roman" w:cs="Times New Roman"/>
          <w:color w:val="000000" w:themeColor="text1"/>
          <w:sz w:val="28"/>
          <w:szCs w:val="28"/>
        </w:rPr>
        <w:t>застосування даного заходу процесуального примусу, є те, що законодавство не передбачає вручення особі, яка підлягає приводу,</w:t>
      </w:r>
      <w:r w:rsidRPr="00532195">
        <w:rPr>
          <w:rFonts w:ascii="Times New Roman" w:hAnsi="Times New Roman" w:cs="Times New Roman"/>
          <w:color w:val="000000" w:themeColor="text1"/>
          <w:sz w:val="28"/>
          <w:szCs w:val="28"/>
        </w:rPr>
        <w:t xml:space="preserve"> копії ухвали</w:t>
      </w:r>
      <w:r w:rsidR="008A2C25">
        <w:rPr>
          <w:rFonts w:ascii="Times New Roman" w:hAnsi="Times New Roman" w:cs="Times New Roman"/>
          <w:color w:val="000000" w:themeColor="text1"/>
          <w:sz w:val="28"/>
          <w:szCs w:val="28"/>
        </w:rPr>
        <w:t xml:space="preserve"> про привід. </w:t>
      </w:r>
      <w:r w:rsidRPr="00532195">
        <w:rPr>
          <w:rFonts w:ascii="Times New Roman" w:hAnsi="Times New Roman" w:cs="Times New Roman"/>
          <w:color w:val="000000" w:themeColor="text1"/>
          <w:sz w:val="28"/>
          <w:szCs w:val="28"/>
        </w:rPr>
        <w:t xml:space="preserve">Уявляється, </w:t>
      </w:r>
      <w:r w:rsidR="00EF6517" w:rsidRPr="00532195">
        <w:rPr>
          <w:rFonts w:ascii="Times New Roman" w:hAnsi="Times New Roman" w:cs="Times New Roman"/>
          <w:color w:val="000000" w:themeColor="text1"/>
          <w:sz w:val="28"/>
          <w:szCs w:val="28"/>
        </w:rPr>
        <w:t>через правообмежувальний хар</w:t>
      </w:r>
      <w:r w:rsidRPr="00532195">
        <w:rPr>
          <w:rFonts w:ascii="Times New Roman" w:hAnsi="Times New Roman" w:cs="Times New Roman"/>
          <w:color w:val="000000" w:themeColor="text1"/>
          <w:sz w:val="28"/>
          <w:szCs w:val="28"/>
        </w:rPr>
        <w:t xml:space="preserve">актер цього примусового заходу </w:t>
      </w:r>
      <w:r w:rsidR="00EF6517" w:rsidRPr="00532195">
        <w:rPr>
          <w:rFonts w:ascii="Times New Roman" w:hAnsi="Times New Roman" w:cs="Times New Roman"/>
          <w:color w:val="000000" w:themeColor="text1"/>
          <w:sz w:val="28"/>
          <w:szCs w:val="28"/>
        </w:rPr>
        <w:t xml:space="preserve">особі, яка підлягає приводу, </w:t>
      </w:r>
      <w:r w:rsidRPr="00532195">
        <w:rPr>
          <w:rFonts w:ascii="Times New Roman" w:hAnsi="Times New Roman" w:cs="Times New Roman"/>
          <w:color w:val="000000" w:themeColor="text1"/>
          <w:sz w:val="28"/>
          <w:szCs w:val="28"/>
        </w:rPr>
        <w:t>слід вручати копію такої ухвали</w:t>
      </w:r>
      <w:r w:rsidR="00EF6517" w:rsidRPr="00532195">
        <w:rPr>
          <w:rFonts w:ascii="Times New Roman" w:hAnsi="Times New Roman" w:cs="Times New Roman"/>
          <w:color w:val="000000" w:themeColor="text1"/>
          <w:sz w:val="28"/>
          <w:szCs w:val="28"/>
        </w:rPr>
        <w:t xml:space="preserve"> з метою забезпечення захисту її конституційних прав, а також можливості оскарження застосування приводу в суді.</w:t>
      </w:r>
    </w:p>
    <w:p w:rsidR="00532195" w:rsidRPr="00532195" w:rsidRDefault="00532195" w:rsidP="00C573F3">
      <w:pPr>
        <w:spacing w:after="0" w:line="360" w:lineRule="auto"/>
        <w:ind w:firstLine="567"/>
        <w:jc w:val="both"/>
        <w:rPr>
          <w:rFonts w:ascii="Times New Roman" w:hAnsi="Times New Roman" w:cs="Times New Roman"/>
          <w:sz w:val="28"/>
          <w:szCs w:val="28"/>
        </w:rPr>
      </w:pPr>
      <w:r w:rsidRPr="00532195">
        <w:rPr>
          <w:rFonts w:ascii="Times New Roman" w:hAnsi="Times New Roman" w:cs="Times New Roman"/>
          <w:color w:val="000000" w:themeColor="text1"/>
          <w:sz w:val="28"/>
          <w:szCs w:val="28"/>
        </w:rPr>
        <w:t xml:space="preserve">Отже, </w:t>
      </w:r>
      <w:r w:rsidRPr="00532195">
        <w:rPr>
          <w:rFonts w:ascii="Times New Roman" w:hAnsi="Times New Roman" w:cs="Times New Roman"/>
          <w:sz w:val="28"/>
          <w:szCs w:val="28"/>
        </w:rPr>
        <w:t xml:space="preserve">зважаючи на правообмежувальний характер приводу, його застосування повинно здійснюватися </w:t>
      </w:r>
      <w:r w:rsidR="008A2C25">
        <w:rPr>
          <w:rFonts w:ascii="Times New Roman" w:hAnsi="Times New Roman" w:cs="Times New Roman"/>
          <w:sz w:val="28"/>
          <w:szCs w:val="28"/>
        </w:rPr>
        <w:t>на визначених законом підставах. Разом із тим, цивільне процесуальне законодавство в частині правового регулювання приводу свідка не є досконалим, що зумовлює необхідність внесення до нього змін і доповнень.</w:t>
      </w:r>
    </w:p>
    <w:p w:rsidR="00F67950" w:rsidRPr="00532195" w:rsidRDefault="00F67950" w:rsidP="00C573F3">
      <w:pPr>
        <w:spacing w:after="0" w:line="360" w:lineRule="auto"/>
        <w:rPr>
          <w:rFonts w:ascii="Times New Roman" w:hAnsi="Times New Roman" w:cs="Times New Roman"/>
          <w:b/>
          <w:color w:val="000000" w:themeColor="text1"/>
          <w:sz w:val="28"/>
          <w:szCs w:val="28"/>
        </w:rPr>
      </w:pPr>
      <w:bookmarkStart w:id="0" w:name="_GoBack"/>
      <w:bookmarkEnd w:id="0"/>
    </w:p>
    <w:p w:rsidR="00F67950" w:rsidRPr="00532195" w:rsidRDefault="00F67950" w:rsidP="00532195">
      <w:pPr>
        <w:spacing w:after="0" w:line="360" w:lineRule="auto"/>
        <w:ind w:firstLine="709"/>
        <w:jc w:val="center"/>
        <w:rPr>
          <w:rFonts w:ascii="Times New Roman" w:hAnsi="Times New Roman" w:cs="Times New Roman"/>
          <w:b/>
          <w:color w:val="000000" w:themeColor="text1"/>
          <w:sz w:val="28"/>
          <w:szCs w:val="28"/>
        </w:rPr>
      </w:pPr>
      <w:r w:rsidRPr="00532195">
        <w:rPr>
          <w:rFonts w:ascii="Times New Roman" w:hAnsi="Times New Roman" w:cs="Times New Roman"/>
          <w:b/>
          <w:color w:val="000000" w:themeColor="text1"/>
          <w:sz w:val="28"/>
          <w:szCs w:val="28"/>
        </w:rPr>
        <w:t>Список використаних джерел:</w:t>
      </w:r>
    </w:p>
    <w:p w:rsidR="00F67950" w:rsidRPr="00532195" w:rsidRDefault="00F67950" w:rsidP="00532195">
      <w:pPr>
        <w:pStyle w:val="a3"/>
        <w:numPr>
          <w:ilvl w:val="0"/>
          <w:numId w:val="3"/>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sz w:val="28"/>
          <w:szCs w:val="28"/>
        </w:rPr>
        <w:t xml:space="preserve">Конституція України від 28 червня 1996 року зі змінами та доповненнями. Вилучено з: </w:t>
      </w:r>
      <w:hyperlink r:id="rId7" w:history="1">
        <w:r w:rsidRPr="00532195">
          <w:rPr>
            <w:rStyle w:val="a4"/>
            <w:rFonts w:ascii="Times New Roman" w:hAnsi="Times New Roman" w:cs="Times New Roman"/>
            <w:sz w:val="28"/>
            <w:szCs w:val="28"/>
          </w:rPr>
          <w:t>http://zakon.rada.gov.ua</w:t>
        </w:r>
      </w:hyperlink>
    </w:p>
    <w:p w:rsidR="00F67950" w:rsidRPr="00532195" w:rsidRDefault="00F67950" w:rsidP="00532195">
      <w:pPr>
        <w:pStyle w:val="a3"/>
        <w:numPr>
          <w:ilvl w:val="0"/>
          <w:numId w:val="3"/>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sz w:val="28"/>
          <w:szCs w:val="28"/>
        </w:rPr>
        <w:t xml:space="preserve">Цивільний процесуальний кодекс України: Закон України від 18 березня 2004 року зі змінами та доповненнями. Вилучено з: </w:t>
      </w:r>
      <w:hyperlink r:id="rId8" w:history="1">
        <w:r w:rsidRPr="00532195">
          <w:rPr>
            <w:rStyle w:val="a4"/>
            <w:rFonts w:ascii="Times New Roman" w:hAnsi="Times New Roman" w:cs="Times New Roman"/>
            <w:sz w:val="28"/>
            <w:szCs w:val="28"/>
          </w:rPr>
          <w:t>http://zakon.rada.gov.ua</w:t>
        </w:r>
      </w:hyperlink>
    </w:p>
    <w:p w:rsidR="00F67950" w:rsidRPr="00532195" w:rsidRDefault="00F67950" w:rsidP="00532195">
      <w:pPr>
        <w:pStyle w:val="a3"/>
        <w:numPr>
          <w:ilvl w:val="0"/>
          <w:numId w:val="3"/>
        </w:numPr>
        <w:spacing w:after="0" w:line="360" w:lineRule="auto"/>
        <w:jc w:val="both"/>
        <w:rPr>
          <w:rFonts w:ascii="Times New Roman" w:hAnsi="Times New Roman" w:cs="Times New Roman"/>
          <w:color w:val="000000" w:themeColor="text1"/>
          <w:sz w:val="28"/>
          <w:szCs w:val="28"/>
        </w:rPr>
      </w:pPr>
      <w:r w:rsidRPr="00532195">
        <w:rPr>
          <w:rFonts w:ascii="Times New Roman" w:hAnsi="Times New Roman" w:cs="Times New Roman"/>
          <w:sz w:val="28"/>
          <w:szCs w:val="28"/>
        </w:rPr>
        <w:t xml:space="preserve">Про визнання такими, що втратили чинність окремих Наказів МВС України: Наказ МВС України від 05.08.2009 N 337. Вилучено з: </w:t>
      </w:r>
      <w:hyperlink r:id="rId9" w:history="1">
        <w:r w:rsidRPr="00532195">
          <w:rPr>
            <w:rStyle w:val="a4"/>
            <w:rFonts w:ascii="Times New Roman" w:hAnsi="Times New Roman" w:cs="Times New Roman"/>
            <w:sz w:val="28"/>
            <w:szCs w:val="28"/>
          </w:rPr>
          <w:t>http://zakon.rada.gov.ua</w:t>
        </w:r>
      </w:hyperlink>
    </w:p>
    <w:p w:rsidR="00F67950" w:rsidRPr="00532195" w:rsidRDefault="00F67950" w:rsidP="00532195">
      <w:pPr>
        <w:pStyle w:val="a3"/>
        <w:numPr>
          <w:ilvl w:val="0"/>
          <w:numId w:val="3"/>
        </w:numPr>
        <w:spacing w:after="0" w:line="360" w:lineRule="auto"/>
        <w:jc w:val="both"/>
        <w:rPr>
          <w:rFonts w:ascii="Times New Roman" w:hAnsi="Times New Roman" w:cs="Times New Roman"/>
          <w:i/>
          <w:color w:val="000000" w:themeColor="text1"/>
          <w:sz w:val="28"/>
          <w:szCs w:val="28"/>
        </w:rPr>
      </w:pPr>
      <w:r w:rsidRPr="00532195">
        <w:rPr>
          <w:rFonts w:ascii="Times New Roman" w:hAnsi="Times New Roman" w:cs="Times New Roman"/>
          <w:sz w:val="28"/>
          <w:szCs w:val="28"/>
        </w:rPr>
        <w:t>Куцик К.</w:t>
      </w:r>
      <w:r w:rsidRPr="00532195">
        <w:rPr>
          <w:rFonts w:ascii="Times New Roman" w:hAnsi="Times New Roman" w:cs="Times New Roman"/>
          <w:color w:val="000000" w:themeColor="text1"/>
          <w:sz w:val="28"/>
          <w:szCs w:val="28"/>
        </w:rPr>
        <w:t xml:space="preserve">В. (2016) Підстави застосування заходів процесуального примусу в цивільному процесі України. </w:t>
      </w:r>
      <w:r w:rsidRPr="00532195">
        <w:rPr>
          <w:rFonts w:ascii="Times New Roman" w:hAnsi="Times New Roman" w:cs="Times New Roman"/>
          <w:i/>
          <w:color w:val="000000" w:themeColor="text1"/>
          <w:sz w:val="28"/>
          <w:szCs w:val="28"/>
        </w:rPr>
        <w:t xml:space="preserve">Науковий вісник Міжнародного гуманітарного університету, </w:t>
      </w:r>
      <w:r w:rsidRPr="00532195">
        <w:rPr>
          <w:rFonts w:ascii="Times New Roman" w:hAnsi="Times New Roman" w:cs="Times New Roman"/>
          <w:color w:val="000000" w:themeColor="text1"/>
          <w:sz w:val="28"/>
          <w:szCs w:val="28"/>
        </w:rPr>
        <w:t>(23), 133-136. Вилучено з: http://vestnik-pravo.mgu.od.ua/archive/juspradenc23/juspradenc23.</w:t>
      </w:r>
    </w:p>
    <w:p w:rsidR="00C815E4" w:rsidRPr="00532195" w:rsidRDefault="00C815E4" w:rsidP="00F67950">
      <w:pPr>
        <w:spacing w:after="0" w:line="360" w:lineRule="auto"/>
        <w:jc w:val="both"/>
        <w:rPr>
          <w:rFonts w:ascii="Times New Roman" w:hAnsi="Times New Roman" w:cs="Times New Roman"/>
          <w:sz w:val="28"/>
          <w:szCs w:val="28"/>
        </w:rPr>
      </w:pPr>
    </w:p>
    <w:sectPr w:rsidR="00C815E4" w:rsidRPr="00532195" w:rsidSect="00C573F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EF3"/>
      </v:shape>
    </w:pict>
  </w:numPicBullet>
  <w:abstractNum w:abstractNumId="0">
    <w:nsid w:val="577E3333"/>
    <w:multiLevelType w:val="hybridMultilevel"/>
    <w:tmpl w:val="D1065114"/>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5BB9203A"/>
    <w:multiLevelType w:val="hybridMultilevel"/>
    <w:tmpl w:val="0ABC0F4C"/>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67C95D34"/>
    <w:multiLevelType w:val="hybridMultilevel"/>
    <w:tmpl w:val="B0D8E9B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6D7A307E"/>
    <w:multiLevelType w:val="hybridMultilevel"/>
    <w:tmpl w:val="056AF13A"/>
    <w:lvl w:ilvl="0" w:tplc="3B0EE6BA">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77AE244D"/>
    <w:multiLevelType w:val="hybridMultilevel"/>
    <w:tmpl w:val="9536A9E0"/>
    <w:lvl w:ilvl="0" w:tplc="704EFE08">
      <w:start w:val="1"/>
      <w:numFmt w:val="decimal"/>
      <w:lvlText w:val="%1."/>
      <w:lvlJc w:val="left"/>
      <w:pPr>
        <w:ind w:left="720" w:hanging="360"/>
      </w:pPr>
      <w:rPr>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517"/>
    <w:rsid w:val="00315FF9"/>
    <w:rsid w:val="003E37E4"/>
    <w:rsid w:val="00532195"/>
    <w:rsid w:val="00550073"/>
    <w:rsid w:val="008A2C25"/>
    <w:rsid w:val="00C573F3"/>
    <w:rsid w:val="00C815E4"/>
    <w:rsid w:val="00EF6517"/>
    <w:rsid w:val="00F679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5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6517"/>
    <w:pPr>
      <w:ind w:left="720"/>
      <w:contextualSpacing/>
    </w:pPr>
  </w:style>
  <w:style w:type="character" w:styleId="a4">
    <w:name w:val="Hyperlink"/>
    <w:basedOn w:val="a0"/>
    <w:uiPriority w:val="99"/>
    <w:unhideWhenUsed/>
    <w:rsid w:val="00EF651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5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6517"/>
    <w:pPr>
      <w:ind w:left="720"/>
      <w:contextualSpacing/>
    </w:pPr>
  </w:style>
  <w:style w:type="character" w:styleId="a4">
    <w:name w:val="Hyperlink"/>
    <w:basedOn w:val="a0"/>
    <w:uiPriority w:val="99"/>
    <w:unhideWhenUsed/>
    <w:rsid w:val="00EF65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 TargetMode="External"/><Relationship Id="rId3" Type="http://schemas.microsoft.com/office/2007/relationships/stylesWithEffects" Target="stylesWithEffects.xml"/><Relationship Id="rId7" Type="http://schemas.openxmlformats.org/officeDocument/2006/relationships/hyperlink" Target="http://zakon.rada.go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1618-1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rada.gov.u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Pages>
  <Words>5835</Words>
  <Characters>3327</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2021-02-16T08:54:00Z</dcterms:created>
  <dcterms:modified xsi:type="dcterms:W3CDTF">2021-02-24T18:01:00Z</dcterms:modified>
</cp:coreProperties>
</file>